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F96" w:rsidRPr="00F84CD4" w:rsidRDefault="00540F96" w:rsidP="00540F96">
      <w:pPr>
        <w:spacing w:after="0" w:line="240" w:lineRule="auto"/>
        <w:jc w:val="center"/>
        <w:rPr>
          <w:rFonts w:ascii="Times New Roman" w:hAnsi="Times New Roman"/>
          <w:b/>
          <w:sz w:val="24"/>
        </w:rPr>
      </w:pPr>
      <w:bookmarkStart w:id="0" w:name="OLE_LINK4"/>
      <w:bookmarkStart w:id="1" w:name="OLE_LINK5"/>
      <w:bookmarkStart w:id="2" w:name="OLE_LINK1"/>
      <w:bookmarkStart w:id="3" w:name="OLE_LINK2"/>
      <w:r w:rsidRPr="00F84CD4">
        <w:rPr>
          <w:rFonts w:ascii="Times New Roman" w:hAnsi="Times New Roman"/>
          <w:b/>
          <w:sz w:val="24"/>
        </w:rPr>
        <w:t>Likumprojekta „Grozījumi Elektroenerģijas tirgus likumā” sākotnējās ietekmes novērtējuma ziņojums (anotācija)</w:t>
      </w:r>
      <w:bookmarkEnd w:id="0"/>
      <w:bookmarkEnd w:id="1"/>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9"/>
        <w:gridCol w:w="2279"/>
        <w:gridCol w:w="6997"/>
      </w:tblGrid>
      <w:tr w:rsidR="00C6380E" w:rsidRPr="005876F3" w:rsidTr="00AC5899">
        <w:tc>
          <w:tcPr>
            <w:tcW w:w="9725" w:type="dxa"/>
            <w:gridSpan w:val="3"/>
            <w:vAlign w:val="center"/>
          </w:tcPr>
          <w:bookmarkEnd w:id="2"/>
          <w:bookmarkEnd w:id="3"/>
          <w:p w:rsidR="00CE44D6" w:rsidRPr="005876F3" w:rsidRDefault="00CE44D6" w:rsidP="00A0154D">
            <w:pPr>
              <w:pStyle w:val="naisnod"/>
              <w:spacing w:before="0" w:after="0"/>
              <w:rPr>
                <w:sz w:val="22"/>
                <w:szCs w:val="22"/>
              </w:rPr>
            </w:pPr>
            <w:r w:rsidRPr="005876F3">
              <w:rPr>
                <w:sz w:val="22"/>
                <w:szCs w:val="22"/>
              </w:rPr>
              <w:t>I. Tiesību akta projekta izstrādes nepieciešamība</w:t>
            </w:r>
          </w:p>
        </w:tc>
      </w:tr>
      <w:tr w:rsidR="00C6380E" w:rsidRPr="005876F3" w:rsidTr="00845D04">
        <w:trPr>
          <w:trHeight w:val="630"/>
        </w:trPr>
        <w:tc>
          <w:tcPr>
            <w:tcW w:w="550" w:type="dxa"/>
          </w:tcPr>
          <w:p w:rsidR="00CE44D6" w:rsidRPr="005876F3" w:rsidRDefault="00CE44D6" w:rsidP="00A0154D">
            <w:pPr>
              <w:pStyle w:val="naiskr"/>
              <w:spacing w:before="0" w:after="0"/>
              <w:rPr>
                <w:sz w:val="22"/>
                <w:szCs w:val="22"/>
              </w:rPr>
            </w:pPr>
            <w:r w:rsidRPr="005876F3">
              <w:rPr>
                <w:sz w:val="22"/>
                <w:szCs w:val="22"/>
              </w:rPr>
              <w:t>1.</w:t>
            </w:r>
          </w:p>
        </w:tc>
        <w:tc>
          <w:tcPr>
            <w:tcW w:w="2716" w:type="dxa"/>
          </w:tcPr>
          <w:p w:rsidR="00F61E70" w:rsidRDefault="00CE44D6" w:rsidP="00A0154D">
            <w:pPr>
              <w:pStyle w:val="naiskr"/>
              <w:spacing w:before="0" w:after="0"/>
              <w:ind w:hanging="10"/>
              <w:rPr>
                <w:sz w:val="22"/>
                <w:szCs w:val="22"/>
              </w:rPr>
            </w:pPr>
            <w:r w:rsidRPr="005876F3">
              <w:rPr>
                <w:sz w:val="22"/>
                <w:szCs w:val="22"/>
              </w:rPr>
              <w:t>Pamatojums</w:t>
            </w:r>
          </w:p>
          <w:p w:rsidR="00F61E70" w:rsidRPr="00F61E70" w:rsidRDefault="00F61E70" w:rsidP="00F61E70">
            <w:pPr>
              <w:rPr>
                <w:lang w:eastAsia="lv-LV"/>
              </w:rPr>
            </w:pPr>
          </w:p>
          <w:p w:rsidR="00F61E70" w:rsidRPr="00F61E70" w:rsidRDefault="00F61E70" w:rsidP="00F61E70">
            <w:pPr>
              <w:rPr>
                <w:lang w:eastAsia="lv-LV"/>
              </w:rPr>
            </w:pPr>
          </w:p>
          <w:p w:rsidR="00F61E70" w:rsidRDefault="00F61E70" w:rsidP="00F61E70">
            <w:pPr>
              <w:rPr>
                <w:lang w:eastAsia="lv-LV"/>
              </w:rPr>
            </w:pPr>
          </w:p>
          <w:p w:rsidR="00CE44D6" w:rsidRPr="00F61E70" w:rsidRDefault="00CE44D6" w:rsidP="00F61E70">
            <w:pPr>
              <w:jc w:val="center"/>
              <w:rPr>
                <w:lang w:eastAsia="lv-LV"/>
              </w:rPr>
            </w:pPr>
          </w:p>
        </w:tc>
        <w:tc>
          <w:tcPr>
            <w:tcW w:w="6459" w:type="dxa"/>
          </w:tcPr>
          <w:p w:rsidR="007978CD" w:rsidRPr="005876F3" w:rsidRDefault="007978CD" w:rsidP="00EC2E44">
            <w:pPr>
              <w:pStyle w:val="naislab"/>
              <w:spacing w:before="0" w:after="0"/>
              <w:jc w:val="both"/>
              <w:rPr>
                <w:sz w:val="22"/>
                <w:szCs w:val="22"/>
              </w:rPr>
            </w:pPr>
            <w:r w:rsidRPr="005876F3">
              <w:rPr>
                <w:sz w:val="22"/>
                <w:szCs w:val="22"/>
              </w:rPr>
              <w:t xml:space="preserve">Saskaņā ar Ministru kabineta 2012.gada 20.novembra sēdes </w:t>
            </w:r>
            <w:proofErr w:type="spellStart"/>
            <w:r w:rsidRPr="005876F3">
              <w:rPr>
                <w:sz w:val="22"/>
                <w:szCs w:val="22"/>
              </w:rPr>
              <w:t>protokollēmuma</w:t>
            </w:r>
            <w:proofErr w:type="spellEnd"/>
            <w:r w:rsidRPr="005876F3">
              <w:rPr>
                <w:sz w:val="22"/>
                <w:szCs w:val="22"/>
              </w:rPr>
              <w:t xml:space="preserve"> Nr.65; 34.§. 3.punktu, Ekonomikas ministrijai tika uzdots līdz 2012.gada 15.decembrism sagatavot grozījumus Elektroenerģijas tirgus likumā.</w:t>
            </w:r>
          </w:p>
          <w:p w:rsidR="007978CD" w:rsidRPr="005876F3" w:rsidRDefault="007978CD" w:rsidP="00F84CD4">
            <w:pPr>
              <w:pStyle w:val="naislab"/>
              <w:spacing w:before="0" w:after="0"/>
              <w:jc w:val="both"/>
              <w:rPr>
                <w:bCs/>
                <w:sz w:val="22"/>
                <w:szCs w:val="22"/>
              </w:rPr>
            </w:pPr>
          </w:p>
          <w:p w:rsidR="00C21A5B" w:rsidRPr="00EC2E44" w:rsidRDefault="00C21A5B" w:rsidP="00F84CD4">
            <w:pPr>
              <w:pStyle w:val="Default"/>
              <w:rPr>
                <w:sz w:val="22"/>
              </w:rPr>
            </w:pPr>
            <w:r w:rsidRPr="00F84CD4">
              <w:rPr>
                <w:color w:val="auto"/>
                <w:sz w:val="22"/>
              </w:rPr>
              <w:t xml:space="preserve">Eiropas Parlamenta un Padomes Direktīvas 2009/72/EK </w:t>
            </w:r>
            <w:r w:rsidRPr="00F84CD4">
              <w:rPr>
                <w:rStyle w:val="Strong"/>
                <w:b w:val="0"/>
                <w:color w:val="auto"/>
                <w:sz w:val="22"/>
              </w:rPr>
              <w:t>(2009. gada 13.jūlijs)</w:t>
            </w:r>
            <w:r w:rsidRPr="00F84CD4">
              <w:rPr>
                <w:color w:val="auto"/>
                <w:sz w:val="22"/>
              </w:rPr>
              <w:t xml:space="preserve"> par kopīgiem noteikumiem attiecībā uz elektroenerģijas iekšējo tirgu un par Direktīvas 2003/54/EK atcelšanu (turpmāk – </w:t>
            </w:r>
            <w:r w:rsidR="0024490A" w:rsidRPr="00F84CD4">
              <w:rPr>
                <w:color w:val="auto"/>
                <w:sz w:val="22"/>
              </w:rPr>
              <w:t>Elektrības direktīva</w:t>
            </w:r>
            <w:r w:rsidRPr="00F84CD4">
              <w:rPr>
                <w:color w:val="auto"/>
                <w:sz w:val="22"/>
              </w:rPr>
              <w:t xml:space="preserve">) preambulas </w:t>
            </w:r>
            <w:r w:rsidR="00B406C8" w:rsidRPr="00F84CD4">
              <w:rPr>
                <w:color w:val="auto"/>
                <w:sz w:val="22"/>
              </w:rPr>
              <w:t>3.punktā ir nostiprināta atziņa, ka, Eiropas Kopienas dibināšanas līgumā noteiktās Eiropas Savienības pilsoņu garantētās brīvības, proti, brīva preču aprite, brīvība veikt uzņēmējdarbību un pakalpojumu sniegšanas brīvība - ir sasniedzamas vienīgi pilnībā atvērtā tirgū, kas ļauj visiem patērētājiem brīvi izvēlēties piegādātājus un visiem piegādātājiem brīvi veikt piegādes lietotājiem.</w:t>
            </w:r>
            <w:r w:rsidR="0064201D" w:rsidRPr="00EF7A4D">
              <w:rPr>
                <w:bCs/>
                <w:color w:val="auto"/>
                <w:sz w:val="22"/>
                <w:szCs w:val="22"/>
              </w:rPr>
              <w:t xml:space="preserve"> Tāpat, Elektrības direktīva paredz, ka mājsaimniecības lietotāji var </w:t>
            </w:r>
          </w:p>
          <w:p w:rsidR="00C21A5B" w:rsidRPr="00EF7A4D" w:rsidRDefault="0064201D" w:rsidP="0064201D">
            <w:pPr>
              <w:pStyle w:val="naislab"/>
              <w:spacing w:before="0" w:after="0"/>
              <w:jc w:val="both"/>
              <w:rPr>
                <w:rFonts w:ascii="EUAlbertina" w:hAnsi="EUAlbertina" w:cs="EUAlbertina"/>
                <w:bCs/>
                <w:sz w:val="22"/>
                <w:szCs w:val="22"/>
              </w:rPr>
            </w:pPr>
            <w:r w:rsidRPr="00EF7A4D">
              <w:rPr>
                <w:rFonts w:ascii="EUAlbertina" w:hAnsi="EUAlbertina" w:cs="EUAlbertina"/>
                <w:bCs/>
                <w:sz w:val="22"/>
                <w:szCs w:val="22"/>
              </w:rPr>
              <w:t xml:space="preserve">saņemt universālo pakalpojumu, kas ietver tiesības saņemt konkrētas kvalitātes elektroenerģiju savā teritorijā par saprātīgām, viegli un skaidri salīdzināmām, pārskatāmām un nediskriminējošām cenām. Lai nodrošinātu universālā pakalpojuma sniegšanu, dalībvalstis var norādīt pēdējo garantēto piegādātāju. </w:t>
            </w:r>
          </w:p>
          <w:p w:rsidR="0024490A" w:rsidRPr="005876F3" w:rsidRDefault="0024490A" w:rsidP="00EC2E44">
            <w:pPr>
              <w:pStyle w:val="naislab"/>
              <w:spacing w:before="0" w:after="0"/>
              <w:jc w:val="both"/>
              <w:rPr>
                <w:sz w:val="22"/>
                <w:szCs w:val="22"/>
              </w:rPr>
            </w:pPr>
          </w:p>
          <w:p w:rsidR="00C21A5B" w:rsidRPr="005876F3" w:rsidRDefault="00C21A5B" w:rsidP="00F84CD4">
            <w:pPr>
              <w:pStyle w:val="naislab"/>
              <w:spacing w:before="0" w:after="0"/>
              <w:jc w:val="both"/>
              <w:rPr>
                <w:sz w:val="22"/>
                <w:szCs w:val="22"/>
              </w:rPr>
            </w:pPr>
            <w:r w:rsidRPr="005876F3">
              <w:rPr>
                <w:sz w:val="22"/>
                <w:szCs w:val="22"/>
              </w:rPr>
              <w:t xml:space="preserve">Likumprojekts „Grozījumi Elektroenerģijas tirgus likumā” ir izstrādāts, pamatojoties uz 2009.gada 17.jūnijā parakstīto saprašanās memorandu ar Eiropas Komisiju par Baltijas enerģētikas tirgus </w:t>
            </w:r>
            <w:proofErr w:type="spellStart"/>
            <w:r w:rsidRPr="005876F3">
              <w:rPr>
                <w:sz w:val="22"/>
                <w:szCs w:val="22"/>
              </w:rPr>
              <w:t>starpsavienojumu</w:t>
            </w:r>
            <w:proofErr w:type="spellEnd"/>
            <w:r w:rsidRPr="005876F3">
              <w:rPr>
                <w:sz w:val="22"/>
                <w:szCs w:val="22"/>
              </w:rPr>
              <w:t xml:space="preserve"> plānu  (turpmāk – BEMIP), kas ietver </w:t>
            </w:r>
            <w:r w:rsidR="009353BE" w:rsidRPr="005876F3">
              <w:rPr>
                <w:sz w:val="22"/>
                <w:szCs w:val="22"/>
              </w:rPr>
              <w:t xml:space="preserve">vienošanos </w:t>
            </w:r>
            <w:r w:rsidRPr="005876F3">
              <w:rPr>
                <w:sz w:val="22"/>
                <w:szCs w:val="22"/>
              </w:rPr>
              <w:t>par pakāpenisk</w:t>
            </w:r>
            <w:r w:rsidR="009353BE" w:rsidRPr="005876F3">
              <w:rPr>
                <w:sz w:val="22"/>
                <w:szCs w:val="22"/>
              </w:rPr>
              <w:t>u</w:t>
            </w:r>
            <w:r w:rsidRPr="005876F3">
              <w:rPr>
                <w:sz w:val="22"/>
                <w:szCs w:val="22"/>
              </w:rPr>
              <w:t xml:space="preserve"> elektroenerģijas tirgus atvēršanu Baltijas valst</w:t>
            </w:r>
            <w:r w:rsidR="009353BE" w:rsidRPr="005876F3">
              <w:rPr>
                <w:sz w:val="22"/>
                <w:szCs w:val="22"/>
              </w:rPr>
              <w:t>īs,</w:t>
            </w:r>
            <w:r w:rsidRPr="005876F3">
              <w:rPr>
                <w:sz w:val="22"/>
                <w:szCs w:val="22"/>
              </w:rPr>
              <w:t xml:space="preserve"> atceļot regulētos elektroenerģijas</w:t>
            </w:r>
            <w:r w:rsidR="009353BE" w:rsidRPr="005876F3">
              <w:rPr>
                <w:sz w:val="22"/>
                <w:szCs w:val="22"/>
              </w:rPr>
              <w:t xml:space="preserve"> tirdzniecības gala</w:t>
            </w:r>
            <w:r w:rsidRPr="005876F3">
              <w:rPr>
                <w:sz w:val="22"/>
                <w:szCs w:val="22"/>
              </w:rPr>
              <w:t xml:space="preserve"> tarifus.</w:t>
            </w:r>
          </w:p>
          <w:p w:rsidR="0002742E" w:rsidRPr="005876F3" w:rsidRDefault="0002742E" w:rsidP="00F84CD4">
            <w:pPr>
              <w:pStyle w:val="naislab"/>
              <w:spacing w:before="0" w:after="0"/>
              <w:jc w:val="both"/>
              <w:rPr>
                <w:bCs/>
                <w:sz w:val="22"/>
                <w:szCs w:val="22"/>
              </w:rPr>
            </w:pPr>
          </w:p>
          <w:p w:rsidR="0024490A" w:rsidRPr="005876F3" w:rsidRDefault="0024490A" w:rsidP="00F84CD4">
            <w:pPr>
              <w:pStyle w:val="naiskr"/>
              <w:spacing w:before="0" w:after="0"/>
              <w:ind w:hanging="5"/>
              <w:jc w:val="both"/>
              <w:rPr>
                <w:sz w:val="22"/>
                <w:szCs w:val="22"/>
              </w:rPr>
            </w:pPr>
            <w:r w:rsidRPr="005876F3">
              <w:rPr>
                <w:sz w:val="22"/>
                <w:szCs w:val="22"/>
              </w:rPr>
              <w:t xml:space="preserve">Saskaņā ar Elektrības direktīvas 37.panta 4.punkta d) apakšpunktu dalībvalstīm ir jānodrošina, ka regulatīvajām iestādēm ir piešķirtas vajadzīgās pilnvaras, lai tās varētu efektīvi un bez kavēšanās veikt tām noteiktos pienākumus, tostarp pilnvaras piemērot iedarbīgas, samērīgas un atturošas sankcijas elektroenerģijas uzņēmumiem, kas nepilda saistības, kuras izriet no šīs direktīvas vai no regulatīvās iestādes vai </w:t>
            </w:r>
            <w:proofErr w:type="spellStart"/>
            <w:r w:rsidRPr="005876F3">
              <w:rPr>
                <w:sz w:val="22"/>
                <w:szCs w:val="22"/>
              </w:rPr>
              <w:t>Energoregulatoru</w:t>
            </w:r>
            <w:proofErr w:type="spellEnd"/>
            <w:r w:rsidRPr="005876F3">
              <w:rPr>
                <w:sz w:val="22"/>
                <w:szCs w:val="22"/>
              </w:rPr>
              <w:t xml:space="preserve"> sadarbības aģentūras lēmumiem. </w:t>
            </w:r>
          </w:p>
          <w:p w:rsidR="0024490A" w:rsidRPr="005876F3" w:rsidRDefault="0024490A" w:rsidP="00F84CD4">
            <w:pPr>
              <w:pStyle w:val="naiskr"/>
              <w:spacing w:before="0" w:after="0"/>
              <w:ind w:hanging="5"/>
              <w:jc w:val="both"/>
              <w:rPr>
                <w:sz w:val="22"/>
                <w:szCs w:val="22"/>
              </w:rPr>
            </w:pPr>
          </w:p>
          <w:p w:rsidR="0024490A" w:rsidRPr="005876F3" w:rsidRDefault="0024490A" w:rsidP="00F84CD4">
            <w:pPr>
              <w:pStyle w:val="naiskr"/>
              <w:spacing w:before="0" w:after="0"/>
              <w:ind w:hanging="5"/>
              <w:jc w:val="both"/>
              <w:rPr>
                <w:sz w:val="22"/>
                <w:szCs w:val="22"/>
              </w:rPr>
            </w:pPr>
            <w:r w:rsidRPr="005876F3">
              <w:rPr>
                <w:sz w:val="22"/>
                <w:szCs w:val="22"/>
              </w:rPr>
              <w:t xml:space="preserve">Eiropas Parlamenta un Padomes regulas Nr.1227/2011 par enerģijas </w:t>
            </w:r>
            <w:proofErr w:type="spellStart"/>
            <w:r w:rsidRPr="005876F3">
              <w:rPr>
                <w:sz w:val="22"/>
                <w:szCs w:val="22"/>
              </w:rPr>
              <w:t>vairumtirgus</w:t>
            </w:r>
            <w:proofErr w:type="spellEnd"/>
            <w:r w:rsidRPr="005876F3">
              <w:rPr>
                <w:sz w:val="22"/>
                <w:szCs w:val="22"/>
              </w:rPr>
              <w:t xml:space="preserve"> integritāti un </w:t>
            </w:r>
            <w:proofErr w:type="spellStart"/>
            <w:r w:rsidRPr="005876F3">
              <w:rPr>
                <w:sz w:val="22"/>
                <w:szCs w:val="22"/>
              </w:rPr>
              <w:t>pārredzamību</w:t>
            </w:r>
            <w:proofErr w:type="spellEnd"/>
            <w:r w:rsidRPr="005876F3">
              <w:rPr>
                <w:sz w:val="22"/>
                <w:szCs w:val="22"/>
              </w:rPr>
              <w:t xml:space="preserve"> (turpmāk – REMIT) 18.pantā ir noteikts, ka dalībvalstis izstrādā noteikumus par sankcijām, ko piemēro par šīs regulas pārkāpumiem, un veic visus vajadzīgos pasākumus, lai nodrošinātu to īstenošanu. Paredzētajām sankcijām ir jābūt iedarbīgām, atturošām un samērīgām, atspoguļojot pārkāpuma veidu, ilgumu un smagumu, kaitējumu patērētājiem un iespējamos ieguvumus no tirdzniecības, kas veikta, pamatojoties uz iekšējo informāciju un tirgus manipulāciju. Ne vēlāk kā līdz 2013.gada 29.jūnijam dalībvalstīm ir jāinformē Eiropas Komisiju par minētajiem noteikumiem.</w:t>
            </w:r>
          </w:p>
          <w:p w:rsidR="0024490A" w:rsidRPr="005876F3" w:rsidRDefault="0024490A" w:rsidP="00F84CD4">
            <w:pPr>
              <w:pStyle w:val="naiskr"/>
              <w:spacing w:before="0" w:after="0"/>
              <w:ind w:hanging="5"/>
              <w:jc w:val="both"/>
              <w:rPr>
                <w:sz w:val="22"/>
                <w:szCs w:val="22"/>
              </w:rPr>
            </w:pPr>
          </w:p>
          <w:p w:rsidR="0024490A" w:rsidRPr="005876F3" w:rsidRDefault="0024490A" w:rsidP="00F84CD4">
            <w:pPr>
              <w:pStyle w:val="naiskr"/>
              <w:spacing w:before="0" w:after="0"/>
              <w:ind w:hanging="5"/>
              <w:jc w:val="both"/>
              <w:rPr>
                <w:sz w:val="22"/>
                <w:szCs w:val="22"/>
              </w:rPr>
            </w:pPr>
            <w:r w:rsidRPr="005876F3">
              <w:rPr>
                <w:sz w:val="22"/>
                <w:szCs w:val="22"/>
              </w:rPr>
              <w:t xml:space="preserve">Ministru kabinets 2012.gada 6.novembrī, izskatot likumprojektu „Grozījumi Elektroenerģijas tirgus likumā”, uzdeva Ekonomikas ministrijai sadarbībā ar Sabiedrisko pakalpojumu regulēšanas komisiju (turpmāk – regulators) līdz 2012.gada 31.decembrim sagatavot priekšlikumus normatīvo aktu grozījumiem par regulatora tiesībām elektroapgādes komersantiem piemērot </w:t>
            </w:r>
            <w:r w:rsidRPr="005876F3">
              <w:rPr>
                <w:sz w:val="22"/>
                <w:szCs w:val="22"/>
              </w:rPr>
              <w:lastRenderedPageBreak/>
              <w:t>sankcijas par elektroapgādi regulējošo normatīvo aktu normu neievērošanu un noteiktā kārtībā iesniegt tos Ministru kabinetā.</w:t>
            </w:r>
          </w:p>
          <w:p w:rsidR="0024490A" w:rsidRPr="005876F3" w:rsidRDefault="0024490A" w:rsidP="00F84CD4">
            <w:pPr>
              <w:pStyle w:val="naislab"/>
              <w:spacing w:before="0" w:after="0"/>
              <w:jc w:val="both"/>
              <w:rPr>
                <w:bCs/>
                <w:sz w:val="22"/>
                <w:szCs w:val="22"/>
              </w:rPr>
            </w:pPr>
          </w:p>
        </w:tc>
      </w:tr>
      <w:tr w:rsidR="00C6380E" w:rsidRPr="005876F3" w:rsidTr="007F340F">
        <w:trPr>
          <w:trHeight w:val="1691"/>
        </w:trPr>
        <w:tc>
          <w:tcPr>
            <w:tcW w:w="550" w:type="dxa"/>
          </w:tcPr>
          <w:p w:rsidR="00CE44D6" w:rsidRPr="005876F3" w:rsidRDefault="00CE44D6" w:rsidP="00A0154D">
            <w:pPr>
              <w:pStyle w:val="naiskr"/>
              <w:spacing w:before="0" w:after="0"/>
              <w:rPr>
                <w:sz w:val="22"/>
                <w:szCs w:val="22"/>
              </w:rPr>
            </w:pPr>
            <w:r w:rsidRPr="005876F3">
              <w:rPr>
                <w:sz w:val="22"/>
                <w:szCs w:val="22"/>
              </w:rPr>
              <w:lastRenderedPageBreak/>
              <w:t>2.</w:t>
            </w:r>
          </w:p>
        </w:tc>
        <w:tc>
          <w:tcPr>
            <w:tcW w:w="2716" w:type="dxa"/>
          </w:tcPr>
          <w:p w:rsidR="00CE44D6" w:rsidRPr="005876F3" w:rsidRDefault="00CE44D6" w:rsidP="00A0154D">
            <w:pPr>
              <w:pStyle w:val="naiskr"/>
              <w:tabs>
                <w:tab w:val="left" w:pos="170"/>
              </w:tabs>
              <w:spacing w:before="0" w:after="0"/>
              <w:rPr>
                <w:sz w:val="22"/>
                <w:szCs w:val="22"/>
              </w:rPr>
            </w:pPr>
            <w:r w:rsidRPr="005876F3">
              <w:rPr>
                <w:sz w:val="22"/>
                <w:szCs w:val="22"/>
              </w:rPr>
              <w:t>Pašreizējā situācija un problēmas</w:t>
            </w:r>
          </w:p>
        </w:tc>
        <w:tc>
          <w:tcPr>
            <w:tcW w:w="6459" w:type="dxa"/>
          </w:tcPr>
          <w:p w:rsidR="00D10894" w:rsidRPr="005876F3" w:rsidRDefault="0048135D" w:rsidP="00A0154D">
            <w:pPr>
              <w:spacing w:after="0" w:line="240" w:lineRule="auto"/>
              <w:ind w:right="-1"/>
              <w:contextualSpacing/>
              <w:jc w:val="both"/>
              <w:rPr>
                <w:rFonts w:ascii="Times New Roman" w:hAnsi="Times New Roman"/>
                <w:bCs/>
              </w:rPr>
            </w:pPr>
            <w:r w:rsidRPr="005876F3">
              <w:rPr>
                <w:rFonts w:ascii="Times New Roman" w:hAnsi="Times New Roman"/>
                <w:bCs/>
              </w:rPr>
              <w:t>Ministru kabineta 2011. gada 29. novembra noteikumu Nr.914 „Elektroenerģijas tirdzniecības un lietošanas noteikumi” 13. punkts nosaka, ka tiesības uz universālo pakalpojumu ir mājsaimniecības lietotājam un elektroenerģijas lietotājam, kura visi pieslēgumi sistēmai vienlaikus atbilst šādiem kritērijiem: pi</w:t>
            </w:r>
            <w:r w:rsidR="00651E7C" w:rsidRPr="005876F3">
              <w:rPr>
                <w:rFonts w:ascii="Times New Roman" w:hAnsi="Times New Roman"/>
                <w:bCs/>
              </w:rPr>
              <w:t>eslēguma spriegums nepārsniedz 4</w:t>
            </w:r>
            <w:r w:rsidRPr="005876F3">
              <w:rPr>
                <w:rFonts w:ascii="Times New Roman" w:hAnsi="Times New Roman"/>
                <w:bCs/>
              </w:rPr>
              <w:t xml:space="preserve">00 voltu </w:t>
            </w:r>
            <w:r w:rsidR="00182D0A" w:rsidRPr="005876F3">
              <w:rPr>
                <w:rFonts w:ascii="Times New Roman" w:hAnsi="Times New Roman"/>
                <w:bCs/>
              </w:rPr>
              <w:t xml:space="preserve">spriegumu, </w:t>
            </w:r>
            <w:r w:rsidRPr="005876F3">
              <w:rPr>
                <w:rFonts w:ascii="Times New Roman" w:hAnsi="Times New Roman"/>
                <w:bCs/>
              </w:rPr>
              <w:t>ievadaizsardzības aparāta nominālā strāva nepārsniedz 100 ampēru</w:t>
            </w:r>
            <w:r w:rsidR="00182D0A" w:rsidRPr="005876F3">
              <w:rPr>
                <w:rFonts w:ascii="Times New Roman" w:hAnsi="Times New Roman"/>
                <w:bCs/>
              </w:rPr>
              <w:t xml:space="preserve"> un lietotājs pērk elektroenerģiju tikai tādēļ, lai to tālāk piegādātu </w:t>
            </w:r>
            <w:proofErr w:type="spellStart"/>
            <w:r w:rsidR="00182D0A" w:rsidRPr="005876F3">
              <w:rPr>
                <w:rFonts w:ascii="Times New Roman" w:hAnsi="Times New Roman"/>
                <w:bCs/>
              </w:rPr>
              <w:t>apakšlietotājiem</w:t>
            </w:r>
            <w:proofErr w:type="spellEnd"/>
            <w:r w:rsidR="00182D0A" w:rsidRPr="005876F3">
              <w:rPr>
                <w:rFonts w:ascii="Times New Roman" w:hAnsi="Times New Roman"/>
                <w:bCs/>
              </w:rPr>
              <w:t>, kuri pērk un izlieto elektroenerģiju savā mājsaimniecībā pašu vajadzībām, izņemot komercdarbību vai cita veida profesionālās darbības vajadzības</w:t>
            </w:r>
            <w:r w:rsidRPr="005876F3">
              <w:rPr>
                <w:rFonts w:ascii="Times New Roman" w:hAnsi="Times New Roman"/>
                <w:bCs/>
              </w:rPr>
              <w:t>.</w:t>
            </w:r>
          </w:p>
          <w:p w:rsidR="0024490A" w:rsidRPr="005876F3" w:rsidRDefault="0024490A" w:rsidP="00A0154D">
            <w:pPr>
              <w:spacing w:after="0" w:line="240" w:lineRule="auto"/>
              <w:ind w:right="-1"/>
              <w:contextualSpacing/>
              <w:jc w:val="both"/>
              <w:rPr>
                <w:rFonts w:ascii="Times New Roman" w:hAnsi="Times New Roman"/>
                <w:bCs/>
              </w:rPr>
            </w:pPr>
          </w:p>
          <w:p w:rsidR="00F4577B" w:rsidRPr="005876F3" w:rsidRDefault="00F4577B" w:rsidP="00EC2E44">
            <w:pPr>
              <w:pStyle w:val="naislab"/>
              <w:spacing w:before="0" w:after="0"/>
              <w:jc w:val="both"/>
              <w:rPr>
                <w:bCs/>
                <w:sz w:val="22"/>
                <w:szCs w:val="22"/>
              </w:rPr>
            </w:pPr>
            <w:r w:rsidRPr="005876F3">
              <w:rPr>
                <w:rFonts w:eastAsia="Calibri"/>
                <w:bCs/>
                <w:sz w:val="22"/>
                <w:szCs w:val="22"/>
                <w:lang w:eastAsia="en-US"/>
              </w:rPr>
              <w:t>Direktīvas 3. panta trešajā daļā paredzēts</w:t>
            </w:r>
            <w:r w:rsidRPr="005876F3">
              <w:rPr>
                <w:bCs/>
                <w:sz w:val="22"/>
                <w:szCs w:val="22"/>
              </w:rPr>
              <w:t xml:space="preserve"> dalībvalsts pienākums nodrošināt universālo pakalpojumu vismaz mājsaimniecības lietotājiem un, kur uzskata par nepieciešamu, arī mazajiem uzņēmumiem. Universālais pakalpojums šīs normas izpratnē ir tiesības saņemt elektroenerģiju uz saprātīgiem nosacījumiem.</w:t>
            </w:r>
          </w:p>
          <w:p w:rsidR="0024490A" w:rsidRPr="005876F3" w:rsidRDefault="0024490A" w:rsidP="00F84CD4">
            <w:pPr>
              <w:pStyle w:val="naislab"/>
              <w:spacing w:before="0" w:after="0"/>
              <w:jc w:val="both"/>
              <w:rPr>
                <w:bCs/>
                <w:sz w:val="22"/>
                <w:szCs w:val="22"/>
              </w:rPr>
            </w:pPr>
          </w:p>
          <w:p w:rsidR="00F4577B" w:rsidRPr="005876F3" w:rsidRDefault="00F4577B" w:rsidP="00F84CD4">
            <w:pPr>
              <w:spacing w:after="0" w:line="240" w:lineRule="auto"/>
              <w:jc w:val="both"/>
              <w:rPr>
                <w:rFonts w:ascii="Times New Roman" w:hAnsi="Times New Roman"/>
                <w:bCs/>
              </w:rPr>
            </w:pPr>
            <w:r w:rsidRPr="005876F3">
              <w:rPr>
                <w:rFonts w:ascii="Times New Roman" w:hAnsi="Times New Roman"/>
                <w:bCs/>
              </w:rPr>
              <w:t>Normālos apstākļos šī nosacījuma ievērošanai nav vajadzīga aktīva dalībvalsts rīcība, jo iekšējā enerģijas tirgus būtība ir nodrošināt konkurētspējīgas enerģijas cenas un augstu pakalpojumu kvalitāti. Tādejādi efektīva tirgus gadījumā valstij obligāti nebūtu jānosaka enerģijas cenu griesti kādai no lietotāju grupām vai jāapstiprina galalietotāju tarifi. Dalībvalstij ir pienākums nodrošināt, ka enerģijas cenas tiek publicētas vienkāršā un salīdzināmā veidā, kā arī aizsargātajiem lietotājiem ir pieejamas pēdējās garantētās piegādes izmantošanas tiesības.</w:t>
            </w:r>
          </w:p>
          <w:p w:rsidR="0024490A" w:rsidRPr="005876F3" w:rsidRDefault="0024490A" w:rsidP="00F84CD4">
            <w:pPr>
              <w:spacing w:after="0" w:line="240" w:lineRule="auto"/>
              <w:jc w:val="both"/>
              <w:rPr>
                <w:rFonts w:ascii="Times New Roman" w:hAnsi="Times New Roman"/>
                <w:bCs/>
              </w:rPr>
            </w:pPr>
          </w:p>
          <w:p w:rsidR="00653003" w:rsidRPr="005876F3" w:rsidRDefault="00491881" w:rsidP="00F84CD4">
            <w:pPr>
              <w:spacing w:after="0" w:line="240" w:lineRule="auto"/>
              <w:jc w:val="both"/>
              <w:rPr>
                <w:rFonts w:ascii="Times New Roman" w:hAnsi="Times New Roman"/>
              </w:rPr>
            </w:pPr>
            <w:r w:rsidRPr="005876F3">
              <w:rPr>
                <w:rFonts w:ascii="Times New Roman" w:hAnsi="Times New Roman"/>
                <w:bCs/>
              </w:rPr>
              <w:t>V</w:t>
            </w:r>
            <w:r w:rsidR="0048135D" w:rsidRPr="005876F3">
              <w:rPr>
                <w:rFonts w:ascii="Times New Roman" w:hAnsi="Times New Roman"/>
                <w:bCs/>
              </w:rPr>
              <w:t>eidojot</w:t>
            </w:r>
            <w:r w:rsidRPr="005876F3">
              <w:rPr>
                <w:rFonts w:ascii="Times New Roman" w:hAnsi="Times New Roman"/>
                <w:bCs/>
              </w:rPr>
              <w:t xml:space="preserve"> nosacījumus efektīvam un integrētam elektroenerģijas tirgum, ir nepieciešams pakāpeniski samazināt to lietotāju skaitu, kas saņem elektroenerģiju par regulētām cenām</w:t>
            </w:r>
            <w:r w:rsidR="005B1FCF" w:rsidRPr="005876F3">
              <w:rPr>
                <w:rFonts w:ascii="Times New Roman" w:hAnsi="Times New Roman"/>
                <w:bCs/>
              </w:rPr>
              <w:t>, un tādejādi nodrošinot pietiekama skaita tirgus dalībnieku klātbūtni tirgū</w:t>
            </w:r>
            <w:r w:rsidR="00182D0A" w:rsidRPr="005876F3">
              <w:rPr>
                <w:rFonts w:ascii="Times New Roman" w:hAnsi="Times New Roman"/>
                <w:bCs/>
              </w:rPr>
              <w:t xml:space="preserve"> līdz brīdim, kad regulētas cenas vairs netiks noteiktas</w:t>
            </w:r>
            <w:r w:rsidR="005B1FCF" w:rsidRPr="005876F3">
              <w:rPr>
                <w:rFonts w:ascii="Times New Roman" w:hAnsi="Times New Roman"/>
                <w:bCs/>
              </w:rPr>
              <w:t xml:space="preserve"> un elektroenerģijas tirgus tiks pilnībā atvērts</w:t>
            </w:r>
            <w:r w:rsidRPr="005876F3">
              <w:rPr>
                <w:rFonts w:ascii="Times New Roman" w:hAnsi="Times New Roman"/>
                <w:bCs/>
              </w:rPr>
              <w:t xml:space="preserve">. </w:t>
            </w:r>
            <w:r w:rsidR="0048135D" w:rsidRPr="005876F3">
              <w:rPr>
                <w:rFonts w:ascii="Times New Roman" w:hAnsi="Times New Roman"/>
                <w:bCs/>
              </w:rPr>
              <w:t xml:space="preserve"> </w:t>
            </w:r>
            <w:r w:rsidRPr="005876F3">
              <w:rPr>
                <w:rFonts w:ascii="Times New Roman" w:hAnsi="Times New Roman"/>
                <w:bCs/>
              </w:rPr>
              <w:t>Igaunijā</w:t>
            </w:r>
            <w:r w:rsidR="0048135D" w:rsidRPr="005876F3">
              <w:rPr>
                <w:rFonts w:ascii="Times New Roman" w:hAnsi="Times New Roman"/>
                <w:bCs/>
              </w:rPr>
              <w:t xml:space="preserve"> </w:t>
            </w:r>
            <w:r w:rsidR="0048135D" w:rsidRPr="005876F3">
              <w:rPr>
                <w:rFonts w:ascii="Times New Roman" w:hAnsi="Times New Roman"/>
              </w:rPr>
              <w:t xml:space="preserve"> 2013. gada 1. janvārī </w:t>
            </w:r>
            <w:r w:rsidRPr="005876F3">
              <w:rPr>
                <w:rFonts w:ascii="Times New Roman" w:hAnsi="Times New Roman"/>
              </w:rPr>
              <w:t xml:space="preserve">elektroenerģijas tirgus </w:t>
            </w:r>
            <w:r w:rsidR="0048135D" w:rsidRPr="005876F3">
              <w:rPr>
                <w:rFonts w:ascii="Times New Roman" w:hAnsi="Times New Roman"/>
              </w:rPr>
              <w:t xml:space="preserve">tiks </w:t>
            </w:r>
            <w:r w:rsidRPr="005876F3">
              <w:rPr>
                <w:rFonts w:ascii="Times New Roman" w:hAnsi="Times New Roman"/>
              </w:rPr>
              <w:t xml:space="preserve">atvērts </w:t>
            </w:r>
            <w:r w:rsidR="0048135D" w:rsidRPr="005876F3">
              <w:rPr>
                <w:rFonts w:ascii="Times New Roman" w:hAnsi="Times New Roman"/>
              </w:rPr>
              <w:t>pilnībā</w:t>
            </w:r>
            <w:r w:rsidR="0002742E" w:rsidRPr="005876F3">
              <w:rPr>
                <w:rFonts w:ascii="Times New Roman" w:hAnsi="Times New Roman"/>
              </w:rPr>
              <w:t>,</w:t>
            </w:r>
            <w:r w:rsidR="0048135D" w:rsidRPr="005876F3">
              <w:rPr>
                <w:rFonts w:ascii="Times New Roman" w:hAnsi="Times New Roman"/>
              </w:rPr>
              <w:t xml:space="preserve"> </w:t>
            </w:r>
            <w:r w:rsidRPr="005876F3">
              <w:rPr>
                <w:rFonts w:ascii="Times New Roman" w:hAnsi="Times New Roman"/>
              </w:rPr>
              <w:t>un</w:t>
            </w:r>
            <w:r w:rsidR="0048135D" w:rsidRPr="005876F3">
              <w:rPr>
                <w:rFonts w:ascii="Times New Roman" w:hAnsi="Times New Roman"/>
              </w:rPr>
              <w:t xml:space="preserve"> arī visas Igaunijas mājsaimniecības turpmāk pirks </w:t>
            </w:r>
            <w:r w:rsidRPr="005876F3">
              <w:rPr>
                <w:rFonts w:ascii="Times New Roman" w:hAnsi="Times New Roman"/>
              </w:rPr>
              <w:t>elektroenerģiju</w:t>
            </w:r>
            <w:r w:rsidR="0048135D" w:rsidRPr="005876F3">
              <w:rPr>
                <w:rFonts w:ascii="Times New Roman" w:hAnsi="Times New Roman"/>
              </w:rPr>
              <w:t xml:space="preserve"> par mēneša vidējo </w:t>
            </w:r>
            <w:proofErr w:type="spellStart"/>
            <w:r w:rsidRPr="005876F3">
              <w:rPr>
                <w:rFonts w:ascii="Times New Roman" w:hAnsi="Times New Roman"/>
              </w:rPr>
              <w:t>NordPool</w:t>
            </w:r>
            <w:proofErr w:type="spellEnd"/>
            <w:r w:rsidRPr="005876F3">
              <w:rPr>
                <w:rFonts w:ascii="Times New Roman" w:hAnsi="Times New Roman"/>
              </w:rPr>
              <w:t xml:space="preserve"> </w:t>
            </w:r>
            <w:proofErr w:type="spellStart"/>
            <w:r w:rsidRPr="005876F3">
              <w:rPr>
                <w:rFonts w:ascii="Times New Roman" w:hAnsi="Times New Roman"/>
              </w:rPr>
              <w:t>Spot</w:t>
            </w:r>
            <w:proofErr w:type="spellEnd"/>
            <w:r w:rsidRPr="005876F3">
              <w:rPr>
                <w:rFonts w:ascii="Times New Roman" w:hAnsi="Times New Roman"/>
              </w:rPr>
              <w:t xml:space="preserve"> </w:t>
            </w:r>
            <w:r w:rsidR="0048135D" w:rsidRPr="005876F3">
              <w:rPr>
                <w:rFonts w:ascii="Times New Roman" w:hAnsi="Times New Roman"/>
              </w:rPr>
              <w:t xml:space="preserve">biržas cenu. Lietuvā </w:t>
            </w:r>
            <w:r w:rsidRPr="005876F3">
              <w:rPr>
                <w:rFonts w:ascii="Times New Roman" w:hAnsi="Times New Roman"/>
              </w:rPr>
              <w:t>2013. gada 1. janvārī</w:t>
            </w:r>
            <w:r w:rsidR="0048135D" w:rsidRPr="005876F3">
              <w:rPr>
                <w:rFonts w:ascii="Times New Roman" w:hAnsi="Times New Roman"/>
              </w:rPr>
              <w:t xml:space="preserve"> visi lietotāji</w:t>
            </w:r>
            <w:r w:rsidRPr="005876F3">
              <w:rPr>
                <w:rFonts w:ascii="Times New Roman" w:hAnsi="Times New Roman"/>
              </w:rPr>
              <w:t>, kas ir juridiskas personas, kļūs par tirgus dalībniekiem, bet</w:t>
            </w:r>
            <w:r w:rsidR="0048135D" w:rsidRPr="005876F3">
              <w:rPr>
                <w:rFonts w:ascii="Times New Roman" w:hAnsi="Times New Roman"/>
              </w:rPr>
              <w:t xml:space="preserve"> māj</w:t>
            </w:r>
            <w:r w:rsidR="00653003" w:rsidRPr="005876F3">
              <w:rPr>
                <w:rFonts w:ascii="Times New Roman" w:hAnsi="Times New Roman"/>
              </w:rPr>
              <w:t>saimniecību cenu regulācija tiks</w:t>
            </w:r>
            <w:r w:rsidR="0048135D" w:rsidRPr="005876F3">
              <w:rPr>
                <w:rFonts w:ascii="Times New Roman" w:hAnsi="Times New Roman"/>
              </w:rPr>
              <w:t xml:space="preserve"> saglabāta līdz </w:t>
            </w:r>
            <w:r w:rsidR="00653003" w:rsidRPr="005876F3">
              <w:rPr>
                <w:rFonts w:ascii="Times New Roman" w:hAnsi="Times New Roman"/>
              </w:rPr>
              <w:t>2015. gada 1. janvārim</w:t>
            </w:r>
            <w:r w:rsidR="0048135D" w:rsidRPr="005876F3">
              <w:rPr>
                <w:rFonts w:ascii="Times New Roman" w:hAnsi="Times New Roman"/>
              </w:rPr>
              <w:t xml:space="preserve">. </w:t>
            </w:r>
          </w:p>
          <w:p w:rsidR="0024490A" w:rsidRPr="005876F3" w:rsidRDefault="0024490A" w:rsidP="00F84CD4">
            <w:pPr>
              <w:spacing w:after="0" w:line="240" w:lineRule="auto"/>
              <w:jc w:val="both"/>
              <w:rPr>
                <w:rFonts w:ascii="Times New Roman" w:hAnsi="Times New Roman"/>
              </w:rPr>
            </w:pPr>
          </w:p>
          <w:p w:rsidR="000F18F4" w:rsidRPr="005876F3" w:rsidRDefault="000F18F4" w:rsidP="00F84CD4">
            <w:pPr>
              <w:spacing w:after="0" w:line="240" w:lineRule="auto"/>
              <w:ind w:right="-1"/>
              <w:contextualSpacing/>
              <w:jc w:val="both"/>
              <w:rPr>
                <w:rFonts w:ascii="Times New Roman" w:hAnsi="Times New Roman"/>
                <w:bCs/>
              </w:rPr>
            </w:pPr>
            <w:r w:rsidRPr="005876F3">
              <w:rPr>
                <w:rFonts w:ascii="Times New Roman" w:hAnsi="Times New Roman"/>
                <w:bCs/>
              </w:rPr>
              <w:t>Līdz šim elektroenerģijas tirgus atvēršana Latvijā ir veiksmīgi noritējusi trīs posmos, tirgū iesaistot visus Latvijas elektroenerģijas lietotājus izņemot mājsaimniecības. Līdz ar to Latvijas atvērtā elektroenerģijas tirgus daļa sasniegusi 75% no kopējā elektroenerģijas patēriņa</w:t>
            </w:r>
          </w:p>
          <w:p w:rsidR="0048135D" w:rsidRPr="005876F3" w:rsidRDefault="00653003" w:rsidP="00F84CD4">
            <w:pPr>
              <w:spacing w:after="0" w:line="240" w:lineRule="auto"/>
              <w:jc w:val="both"/>
              <w:rPr>
                <w:rFonts w:ascii="Times New Roman" w:hAnsi="Times New Roman"/>
              </w:rPr>
            </w:pPr>
            <w:r w:rsidRPr="005876F3">
              <w:rPr>
                <w:rFonts w:ascii="Times New Roman" w:hAnsi="Times New Roman"/>
              </w:rPr>
              <w:t>S</w:t>
            </w:r>
            <w:r w:rsidR="0048135D" w:rsidRPr="005876F3">
              <w:rPr>
                <w:rFonts w:ascii="Times New Roman" w:hAnsi="Times New Roman"/>
              </w:rPr>
              <w:t>adales sistēmas operators un tirgotāji veiksmīgi pielāgoja gan savas uzskaites, gan norēķinu sistēmas liela skaita lietot</w:t>
            </w:r>
            <w:r w:rsidRPr="005876F3">
              <w:rPr>
                <w:rFonts w:ascii="Times New Roman" w:hAnsi="Times New Roman"/>
              </w:rPr>
              <w:t>āju vienlaicīgai statusa maiņai, t</w:t>
            </w:r>
            <w:r w:rsidR="0048135D" w:rsidRPr="005876F3">
              <w:rPr>
                <w:rFonts w:ascii="Times New Roman" w:hAnsi="Times New Roman"/>
              </w:rPr>
              <w:t>ādējādi gan sistēmas operators, gan tirgotāji ir gatavi tirgus tālākai liberalizācijai.</w:t>
            </w:r>
          </w:p>
          <w:p w:rsidR="0024490A" w:rsidRPr="005876F3" w:rsidRDefault="0024490A" w:rsidP="00F84CD4">
            <w:pPr>
              <w:spacing w:after="0" w:line="240" w:lineRule="auto"/>
              <w:jc w:val="both"/>
              <w:rPr>
                <w:rFonts w:ascii="Times New Roman" w:hAnsi="Times New Roman"/>
              </w:rPr>
            </w:pPr>
          </w:p>
          <w:p w:rsidR="0048135D" w:rsidRPr="005876F3" w:rsidRDefault="0048135D" w:rsidP="00F84CD4">
            <w:pPr>
              <w:spacing w:after="0" w:line="240" w:lineRule="auto"/>
              <w:jc w:val="both"/>
              <w:rPr>
                <w:rFonts w:ascii="Times New Roman" w:hAnsi="Times New Roman"/>
              </w:rPr>
            </w:pPr>
            <w:r w:rsidRPr="005876F3">
              <w:rPr>
                <w:rFonts w:ascii="Times New Roman" w:hAnsi="Times New Roman"/>
              </w:rPr>
              <w:t xml:space="preserve">Nozīmīgs faktors tirgus </w:t>
            </w:r>
            <w:r w:rsidR="00653003" w:rsidRPr="005876F3">
              <w:rPr>
                <w:rFonts w:ascii="Times New Roman" w:hAnsi="Times New Roman"/>
              </w:rPr>
              <w:t xml:space="preserve">veiksmīgai saistīto lietotāju skaita samazināšanai bija arī </w:t>
            </w:r>
            <w:r w:rsidRPr="005876F3">
              <w:rPr>
                <w:rFonts w:ascii="Times New Roman" w:hAnsi="Times New Roman"/>
              </w:rPr>
              <w:t xml:space="preserve">stabilās elektroenerģijas biržas cenas. </w:t>
            </w:r>
            <w:r w:rsidR="00653003" w:rsidRPr="005876F3">
              <w:rPr>
                <w:rFonts w:ascii="Times New Roman" w:hAnsi="Times New Roman"/>
              </w:rPr>
              <w:t>Cena, par kādu tirgus dalībnieki varēja pirkt elektroenerģiju</w:t>
            </w:r>
            <w:r w:rsidR="008D5F04" w:rsidRPr="005876F3">
              <w:rPr>
                <w:rFonts w:ascii="Times New Roman" w:hAnsi="Times New Roman"/>
              </w:rPr>
              <w:t>,</w:t>
            </w:r>
            <w:r w:rsidR="00653003" w:rsidRPr="005876F3">
              <w:rPr>
                <w:rFonts w:ascii="Times New Roman" w:hAnsi="Times New Roman"/>
              </w:rPr>
              <w:t xml:space="preserve"> kopumā ir bijusi līdzīga vai zemāka par regulētajos tarifos iekļauto elektroenerģijas </w:t>
            </w:r>
            <w:r w:rsidR="00DF4AE4" w:rsidRPr="005876F3">
              <w:rPr>
                <w:rFonts w:ascii="Times New Roman" w:hAnsi="Times New Roman"/>
              </w:rPr>
              <w:t>cenu un pēdējās garantētās piegādes cenu.</w:t>
            </w:r>
            <w:r w:rsidR="00653003" w:rsidRPr="005876F3">
              <w:rPr>
                <w:rFonts w:ascii="Times New Roman" w:hAnsi="Times New Roman"/>
              </w:rPr>
              <w:t xml:space="preserve"> </w:t>
            </w:r>
            <w:r w:rsidR="00DF4AE4" w:rsidRPr="005876F3">
              <w:rPr>
                <w:rFonts w:ascii="Times New Roman" w:hAnsi="Times New Roman"/>
              </w:rPr>
              <w:t>Paredzams, ka n</w:t>
            </w:r>
            <w:r w:rsidRPr="005876F3">
              <w:rPr>
                <w:rFonts w:ascii="Times New Roman" w:hAnsi="Times New Roman"/>
              </w:rPr>
              <w:t xml:space="preserve">ākamā perioda biržas cenas gada griezumā </w:t>
            </w:r>
            <w:r w:rsidRPr="005876F3">
              <w:rPr>
                <w:rFonts w:ascii="Times New Roman" w:hAnsi="Times New Roman"/>
              </w:rPr>
              <w:lastRenderedPageBreak/>
              <w:t xml:space="preserve">varētu saglabāties līdzīgas, tāpēc </w:t>
            </w:r>
            <w:r w:rsidR="00DF4AE4" w:rsidRPr="005876F3">
              <w:rPr>
                <w:rFonts w:ascii="Times New Roman" w:hAnsi="Times New Roman"/>
              </w:rPr>
              <w:t xml:space="preserve">kļūšana par tirgus dalībniekiem neradīs papildu finansiālo slogu </w:t>
            </w:r>
            <w:r w:rsidRPr="005876F3">
              <w:rPr>
                <w:rFonts w:ascii="Times New Roman" w:hAnsi="Times New Roman"/>
              </w:rPr>
              <w:t>lietotājiem.</w:t>
            </w:r>
          </w:p>
          <w:p w:rsidR="0024490A" w:rsidRPr="005876F3" w:rsidRDefault="0024490A" w:rsidP="00F84CD4">
            <w:pPr>
              <w:spacing w:after="0" w:line="240" w:lineRule="auto"/>
              <w:jc w:val="both"/>
              <w:rPr>
                <w:rFonts w:ascii="Times New Roman" w:hAnsi="Times New Roman"/>
              </w:rPr>
            </w:pPr>
          </w:p>
          <w:p w:rsidR="007866FC" w:rsidRDefault="005E328C" w:rsidP="007866FC">
            <w:pPr>
              <w:pStyle w:val="naiskr"/>
              <w:spacing w:before="0" w:after="0"/>
              <w:ind w:hanging="5"/>
              <w:jc w:val="both"/>
              <w:rPr>
                <w:sz w:val="22"/>
                <w:szCs w:val="22"/>
              </w:rPr>
            </w:pPr>
            <w:r w:rsidRPr="00BA50DA">
              <w:rPr>
                <w:sz w:val="22"/>
                <w:szCs w:val="22"/>
              </w:rPr>
              <w:t>Elektroenerģijas tirgus atvēršanas</w:t>
            </w:r>
            <w:r>
              <w:rPr>
                <w:sz w:val="22"/>
                <w:szCs w:val="22"/>
              </w:rPr>
              <w:t xml:space="preserve"> kontekstā</w:t>
            </w:r>
            <w:r w:rsidR="007866FC">
              <w:rPr>
                <w:sz w:val="22"/>
                <w:szCs w:val="22"/>
              </w:rPr>
              <w:t>, kā arī ņemot vērā Latvijas izvēlētā pārvades sistēmas operatora nodalīšanas modeli ir</w:t>
            </w:r>
            <w:r>
              <w:rPr>
                <w:sz w:val="22"/>
                <w:szCs w:val="22"/>
              </w:rPr>
              <w:t xml:space="preserve"> būtiski </w:t>
            </w:r>
            <w:r w:rsidR="007866FC">
              <w:rPr>
                <w:sz w:val="22"/>
                <w:szCs w:val="22"/>
              </w:rPr>
              <w:t>paredzēt iedarbīgus, samērīgus un atturošus ietekmēšanas līdzekļus, kurus regulators būtu tiesīgs piemērot elektroenerģijas tirgus dalībniekiem, pārvades sistēmas operatoram un elektroenerģijas sistēmas īpašniekam par Elektroenerģijas tirgus likumā un REMIT noteikto prasību neievērošanu</w:t>
            </w:r>
            <w:r>
              <w:rPr>
                <w:sz w:val="22"/>
                <w:szCs w:val="22"/>
              </w:rPr>
              <w:t xml:space="preserve">. </w:t>
            </w:r>
          </w:p>
          <w:p w:rsidR="00B76460" w:rsidRDefault="00B76460" w:rsidP="007866FC">
            <w:pPr>
              <w:pStyle w:val="naiskr"/>
              <w:spacing w:before="0" w:after="0"/>
              <w:ind w:hanging="5"/>
              <w:jc w:val="both"/>
              <w:rPr>
                <w:sz w:val="22"/>
                <w:szCs w:val="22"/>
              </w:rPr>
            </w:pPr>
          </w:p>
          <w:p w:rsidR="0024490A" w:rsidRPr="005876F3" w:rsidRDefault="0024490A" w:rsidP="00F84CD4">
            <w:pPr>
              <w:pStyle w:val="Default"/>
              <w:jc w:val="both"/>
              <w:rPr>
                <w:sz w:val="22"/>
                <w:szCs w:val="22"/>
              </w:rPr>
            </w:pPr>
            <w:r w:rsidRPr="003F2B6D">
              <w:rPr>
                <w:sz w:val="22"/>
                <w:szCs w:val="22"/>
              </w:rPr>
              <w:t>Elektrības direktīvas 37.panta 4.punkta d) apakšpunkt</w:t>
            </w:r>
            <w:r w:rsidR="003F2B6D" w:rsidRPr="003F2B6D">
              <w:rPr>
                <w:sz w:val="22"/>
                <w:szCs w:val="22"/>
              </w:rPr>
              <w:t>s noteic, ka</w:t>
            </w:r>
            <w:r w:rsidRPr="003F2B6D">
              <w:rPr>
                <w:sz w:val="22"/>
                <w:szCs w:val="22"/>
              </w:rPr>
              <w:t xml:space="preserve"> </w:t>
            </w:r>
            <w:r w:rsidR="007866FC" w:rsidRPr="003F2B6D">
              <w:rPr>
                <w:sz w:val="22"/>
                <w:szCs w:val="22"/>
              </w:rPr>
              <w:t>dalībvalstīm ir jānodrošina, ka regulatīvajām iestādēm ir pieš</w:t>
            </w:r>
            <w:r w:rsidR="003F2B6D" w:rsidRPr="003F2B6D">
              <w:rPr>
                <w:sz w:val="22"/>
                <w:szCs w:val="22"/>
              </w:rPr>
              <w:t xml:space="preserve">ķirtas pilnvaras piemērot iedarbīgas, samērīgas un atturošas sankcijas elektroenerģijas uzņēmumiem, kas nepilda saistības, kuras izriet no šīs direktīvas vai no juridiski saistošiem regulatīvās iestādes vai </w:t>
            </w:r>
            <w:proofErr w:type="spellStart"/>
            <w:r w:rsidR="00E9059C">
              <w:rPr>
                <w:sz w:val="22"/>
                <w:szCs w:val="22"/>
              </w:rPr>
              <w:t>Energ</w:t>
            </w:r>
            <w:r w:rsidR="0051445C">
              <w:rPr>
                <w:sz w:val="22"/>
                <w:szCs w:val="22"/>
              </w:rPr>
              <w:t>oregulatoru</w:t>
            </w:r>
            <w:proofErr w:type="spellEnd"/>
            <w:r w:rsidR="0051445C">
              <w:rPr>
                <w:sz w:val="22"/>
                <w:szCs w:val="22"/>
              </w:rPr>
              <w:t xml:space="preserve"> sadarbības aģentūras</w:t>
            </w:r>
            <w:r w:rsidR="00E9059C">
              <w:rPr>
                <w:sz w:val="22"/>
                <w:szCs w:val="22"/>
              </w:rPr>
              <w:t xml:space="preserve"> (ACER)</w:t>
            </w:r>
            <w:r w:rsidR="003F2B6D" w:rsidRPr="003F2B6D">
              <w:rPr>
                <w:sz w:val="22"/>
                <w:szCs w:val="22"/>
              </w:rPr>
              <w:t xml:space="preserve"> lēmumiem, vai ierosināt, lai kompetenta tiesa piemēro šādas sankcijas. Tas ietver pilnvaras noteikt vai ierosināt noteikt </w:t>
            </w:r>
            <w:r w:rsidRPr="005876F3">
              <w:rPr>
                <w:sz w:val="22"/>
                <w:szCs w:val="22"/>
              </w:rPr>
              <w:t>attiecībā uz pārvades sistēmas operatoru un vertikāli integrētu komersantu iedarbīgas, samērīgas un atturošas sankcijas  līdz pat 10 % apmērā no attiecīgā pārvades sistēmas operatora vai vertikāli integrēta komersanta gada apgrozījuma. Minētais maksimālais sankcijas apjoms ir aizgūts no Eiropas Savienības konkurences tiesībām. Līdz ar to attiecībā uz pārējiem energoapgādes komersantiem dalībvalstis ir tiesīgas brīvi noteikt sankcijas apjomu, nodrošinot, ka tās ir iedarbīgas, samērīgas un atturošas.</w:t>
            </w:r>
          </w:p>
          <w:p w:rsidR="0024490A" w:rsidRPr="005876F3" w:rsidRDefault="0024490A" w:rsidP="00EC2E44">
            <w:pPr>
              <w:pStyle w:val="naiskr"/>
              <w:spacing w:before="0" w:after="0"/>
              <w:ind w:hanging="5"/>
              <w:jc w:val="both"/>
              <w:rPr>
                <w:sz w:val="22"/>
                <w:szCs w:val="22"/>
              </w:rPr>
            </w:pPr>
          </w:p>
          <w:p w:rsidR="0024490A" w:rsidRPr="005876F3" w:rsidRDefault="0024490A" w:rsidP="00F84CD4">
            <w:pPr>
              <w:pStyle w:val="naiskr"/>
              <w:spacing w:before="0" w:after="0"/>
              <w:ind w:hanging="5"/>
              <w:jc w:val="both"/>
              <w:rPr>
                <w:sz w:val="22"/>
                <w:szCs w:val="22"/>
              </w:rPr>
            </w:pPr>
            <w:r w:rsidRPr="005876F3">
              <w:rPr>
                <w:sz w:val="22"/>
                <w:szCs w:val="22"/>
              </w:rPr>
              <w:t>Elektrības direktīva paredz, ka gadījumā, ja ir norīkots neatkarīgs sistēmas operators (šādu modeli Latvija ir izvēlējusies elektroapgādē), regulatīvā iestāde pārrauga, kā pārvades sistēmas īpašnieks un neatkarīgais sistēmas operators pilda tiem noteiktos pienākumus, un piemēro sankcijas par neizpildi (Elektrības direktīvas 37.panta 3.punkta a) apakšpunkts). Līdz ar to regulatīvās iestādes  tiesības piemērot iedarbīgas, samērīgas un atturošas sankcijas ir attiecināmas arī uz pārvades sistēmas īpašnieku.</w:t>
            </w:r>
          </w:p>
          <w:p w:rsidR="0024490A" w:rsidRPr="005876F3" w:rsidRDefault="0024490A" w:rsidP="00F84CD4">
            <w:pPr>
              <w:pStyle w:val="naiskr"/>
              <w:spacing w:before="0" w:after="0"/>
              <w:ind w:hanging="5"/>
              <w:jc w:val="both"/>
              <w:rPr>
                <w:sz w:val="22"/>
                <w:szCs w:val="22"/>
              </w:rPr>
            </w:pPr>
          </w:p>
          <w:p w:rsidR="003F2B6D" w:rsidRPr="005876F3" w:rsidRDefault="0024490A" w:rsidP="00F84CD4">
            <w:pPr>
              <w:pStyle w:val="naiskr"/>
              <w:spacing w:before="0" w:after="0"/>
              <w:ind w:hanging="5"/>
              <w:jc w:val="both"/>
              <w:rPr>
                <w:sz w:val="22"/>
                <w:szCs w:val="22"/>
              </w:rPr>
            </w:pPr>
            <w:r w:rsidRPr="005876F3">
              <w:rPr>
                <w:sz w:val="22"/>
                <w:szCs w:val="22"/>
              </w:rPr>
              <w:t xml:space="preserve">Savukārt, REMIT prasības par iedarbīgu, atturošu un samērīgu sankciju ieviešanu attiecas uz </w:t>
            </w:r>
            <w:proofErr w:type="spellStart"/>
            <w:r w:rsidRPr="005876F3">
              <w:rPr>
                <w:sz w:val="22"/>
                <w:szCs w:val="22"/>
              </w:rPr>
              <w:t>vairumtirgus</w:t>
            </w:r>
            <w:proofErr w:type="spellEnd"/>
            <w:r w:rsidRPr="005876F3">
              <w:rPr>
                <w:sz w:val="22"/>
                <w:szCs w:val="22"/>
              </w:rPr>
              <w:t xml:space="preserve"> dalībniekiem REMIT izpratnē, tātad - pārvades sistēmu operatoriem un tirgus dalībniekiem (elektroenerģijas ražotājiem, elektroenerģijas tirgotājiem un galalietotājiem).</w:t>
            </w:r>
            <w:r w:rsidR="00E9059C">
              <w:rPr>
                <w:sz w:val="22"/>
                <w:szCs w:val="22"/>
              </w:rPr>
              <w:t xml:space="preserve"> </w:t>
            </w:r>
            <w:r w:rsidR="003F2B6D" w:rsidRPr="00E9059C">
              <w:rPr>
                <w:bCs/>
                <w:color w:val="000000"/>
                <w:sz w:val="22"/>
                <w:szCs w:val="22"/>
              </w:rPr>
              <w:t xml:space="preserve">REMIT paredz, ka dalībvalstis izstrādā </w:t>
            </w:r>
            <w:r w:rsidR="003F2B6D" w:rsidRPr="00E9059C">
              <w:rPr>
                <w:color w:val="000000"/>
                <w:sz w:val="22"/>
                <w:szCs w:val="22"/>
              </w:rPr>
              <w:t>sankcijas, ko piemēro par šīs regulas pārkāpumiem, un veic visus vajadzīgos pasākumus, lai nodrošinātu to īstenošanu. REMIT pārkāpumi aptver ne tikai tieši regulā paredzētos pārkāpumus (aizliegums izmantot iekšējo informāciju un tirgus manipulāciju aizliegums), bet arī pārkāpumus, kas saistīti ar informācijas nesniegšanu regulatoram vai ACER, reģistrēšanos u.c. (</w:t>
            </w:r>
            <w:r w:rsidR="003F2B6D" w:rsidRPr="00E9059C">
              <w:rPr>
                <w:sz w:val="22"/>
                <w:szCs w:val="22"/>
              </w:rPr>
              <w:t xml:space="preserve">ACER </w:t>
            </w:r>
            <w:proofErr w:type="spellStart"/>
            <w:r w:rsidR="003F2B6D" w:rsidRPr="00E9059C">
              <w:rPr>
                <w:sz w:val="22"/>
                <w:szCs w:val="22"/>
              </w:rPr>
              <w:t>Guidance</w:t>
            </w:r>
            <w:proofErr w:type="spellEnd"/>
            <w:r w:rsidR="003F2B6D" w:rsidRPr="00E9059C">
              <w:rPr>
                <w:sz w:val="22"/>
                <w:szCs w:val="22"/>
              </w:rPr>
              <w:t xml:space="preserve"> on the </w:t>
            </w:r>
            <w:proofErr w:type="spellStart"/>
            <w:r w:rsidR="003F2B6D" w:rsidRPr="00E9059C">
              <w:rPr>
                <w:sz w:val="22"/>
                <w:szCs w:val="22"/>
              </w:rPr>
              <w:t>application</w:t>
            </w:r>
            <w:proofErr w:type="spellEnd"/>
            <w:r w:rsidR="003F2B6D" w:rsidRPr="00E9059C">
              <w:rPr>
                <w:sz w:val="22"/>
                <w:szCs w:val="22"/>
              </w:rPr>
              <w:t xml:space="preserve"> of </w:t>
            </w:r>
            <w:proofErr w:type="spellStart"/>
            <w:r w:rsidR="003F2B6D" w:rsidRPr="00E9059C">
              <w:rPr>
                <w:sz w:val="22"/>
                <w:szCs w:val="22"/>
              </w:rPr>
              <w:t>Regulation</w:t>
            </w:r>
            <w:proofErr w:type="spellEnd"/>
            <w:r w:rsidR="003F2B6D" w:rsidRPr="00E9059C">
              <w:rPr>
                <w:sz w:val="22"/>
                <w:szCs w:val="22"/>
              </w:rPr>
              <w:t xml:space="preserve"> (EU) No 1227/2011, 2nd </w:t>
            </w:r>
            <w:proofErr w:type="spellStart"/>
            <w:r w:rsidR="003F2B6D" w:rsidRPr="00E9059C">
              <w:rPr>
                <w:sz w:val="22"/>
                <w:szCs w:val="22"/>
              </w:rPr>
              <w:t>edition</w:t>
            </w:r>
            <w:proofErr w:type="spellEnd"/>
            <w:r w:rsidR="00E9059C" w:rsidRPr="00E9059C">
              <w:rPr>
                <w:sz w:val="22"/>
                <w:szCs w:val="22"/>
              </w:rPr>
              <w:t xml:space="preserve">). </w:t>
            </w:r>
            <w:r w:rsidR="00E9059C" w:rsidRPr="00E9059C">
              <w:rPr>
                <w:color w:val="000000"/>
                <w:sz w:val="22"/>
                <w:szCs w:val="22"/>
              </w:rPr>
              <w:t xml:space="preserve">REMIT preambulas 31.punktā ir ietverta norāde uz iespējamo sankciju apmēru, proti, </w:t>
            </w:r>
            <w:r w:rsidR="00E9059C" w:rsidRPr="00E9059C">
              <w:rPr>
                <w:i/>
                <w:color w:val="000000"/>
                <w:sz w:val="22"/>
                <w:szCs w:val="22"/>
              </w:rPr>
              <w:t>„atzīstot mijiedarbību starp tirdzniecību ar elektroenerģijas un dabasgāzes atvasinātajiem produktiem un tirdzniecību ar faktisko elektroenerģiju un gāzi, sankcijām par šīs regulas pārkāpumiem būtu jāatbilst tām sankcijām, ko dalībvalstis noteikušas, ieviešot Direktīvu 2003/6/EK”</w:t>
            </w:r>
            <w:r w:rsidR="00E9059C" w:rsidRPr="00E9059C">
              <w:rPr>
                <w:color w:val="000000"/>
                <w:sz w:val="22"/>
                <w:szCs w:val="22"/>
              </w:rPr>
              <w:t>.</w:t>
            </w:r>
            <w:r w:rsidR="00E9059C">
              <w:rPr>
                <w:color w:val="000000"/>
                <w:sz w:val="22"/>
                <w:szCs w:val="22"/>
              </w:rPr>
              <w:t xml:space="preserve"> </w:t>
            </w:r>
            <w:r w:rsidR="0024117C">
              <w:rPr>
                <w:color w:val="000000"/>
                <w:sz w:val="22"/>
                <w:szCs w:val="22"/>
              </w:rPr>
              <w:t>Minētais nozīmē, ka</w:t>
            </w:r>
            <w:r w:rsidR="00E9059C">
              <w:rPr>
                <w:color w:val="000000"/>
                <w:sz w:val="22"/>
                <w:szCs w:val="22"/>
              </w:rPr>
              <w:t xml:space="preserve"> sankcijām par REMIT pārkāpumiem jā</w:t>
            </w:r>
            <w:r w:rsidR="0024117C">
              <w:rPr>
                <w:color w:val="000000"/>
                <w:sz w:val="22"/>
                <w:szCs w:val="22"/>
              </w:rPr>
              <w:t>atbilst</w:t>
            </w:r>
            <w:r w:rsidR="00E9059C">
              <w:rPr>
                <w:color w:val="000000"/>
                <w:sz w:val="22"/>
                <w:szCs w:val="22"/>
              </w:rPr>
              <w:t xml:space="preserve"> sankcijām, kas paredzētas par pārkāpumiem saistībā ar finanšu instrumentiem.</w:t>
            </w:r>
            <w:r w:rsidR="009B2156">
              <w:rPr>
                <w:color w:val="000000"/>
                <w:sz w:val="22"/>
                <w:szCs w:val="22"/>
              </w:rPr>
              <w:t xml:space="preserve"> Vienlaikus REMIT paredz, ka, veicot tirgus uzraudzību, valstu regulatīvās iestādes sadarbojas ar attiecīgajām dalībvalsts izveidotajām tirgus </w:t>
            </w:r>
            <w:r w:rsidR="009B2156">
              <w:rPr>
                <w:color w:val="000000"/>
                <w:sz w:val="22"/>
                <w:szCs w:val="22"/>
              </w:rPr>
              <w:lastRenderedPageBreak/>
              <w:t>uzraudzības struktūrām (Latvijas gadījumā – Finanšu un kapitāla tirgus komisija).</w:t>
            </w:r>
          </w:p>
          <w:p w:rsidR="0024490A" w:rsidRPr="005876F3" w:rsidRDefault="0024490A" w:rsidP="00F84CD4">
            <w:pPr>
              <w:pStyle w:val="naiskr"/>
              <w:spacing w:before="0" w:after="0"/>
              <w:ind w:hanging="5"/>
              <w:jc w:val="both"/>
              <w:rPr>
                <w:sz w:val="22"/>
                <w:szCs w:val="22"/>
              </w:rPr>
            </w:pPr>
          </w:p>
          <w:p w:rsidR="00720718" w:rsidRDefault="0024490A" w:rsidP="0024490A">
            <w:pPr>
              <w:pStyle w:val="naiskr"/>
              <w:spacing w:before="0" w:after="0"/>
              <w:ind w:hanging="5"/>
              <w:jc w:val="both"/>
              <w:rPr>
                <w:sz w:val="22"/>
                <w:szCs w:val="22"/>
              </w:rPr>
            </w:pPr>
            <w:r w:rsidRPr="005876F3">
              <w:rPr>
                <w:sz w:val="22"/>
                <w:szCs w:val="22"/>
              </w:rPr>
              <w:t>Šobrīd atbildību par regulējamo nozaru normatīvo aktu pārkāpšanu paredz Latvijas Administratīvo pārkāpumu kodekss</w:t>
            </w:r>
            <w:r w:rsidR="009B2156">
              <w:rPr>
                <w:sz w:val="22"/>
                <w:szCs w:val="22"/>
              </w:rPr>
              <w:t xml:space="preserve"> (</w:t>
            </w:r>
            <w:r w:rsidR="00B20B97">
              <w:rPr>
                <w:sz w:val="22"/>
                <w:szCs w:val="22"/>
              </w:rPr>
              <w:t xml:space="preserve">turpmāk - </w:t>
            </w:r>
            <w:r w:rsidR="009B2156">
              <w:rPr>
                <w:sz w:val="22"/>
                <w:szCs w:val="22"/>
              </w:rPr>
              <w:t>LAPK)</w:t>
            </w:r>
            <w:r w:rsidR="00C37458">
              <w:rPr>
                <w:sz w:val="22"/>
                <w:szCs w:val="22"/>
              </w:rPr>
              <w:t>.</w:t>
            </w:r>
            <w:r w:rsidRPr="005876F3">
              <w:rPr>
                <w:sz w:val="22"/>
                <w:szCs w:val="22"/>
              </w:rPr>
              <w:t xml:space="preserve"> </w:t>
            </w:r>
            <w:r w:rsidR="00C37458">
              <w:rPr>
                <w:sz w:val="22"/>
                <w:szCs w:val="22"/>
              </w:rPr>
              <w:t>LAPK paredzētā administratīvo lietu ierosināšanas un izskatīšanas kārtība, lielākoties, nav piemērota enerģētikas nozarei un LAPK noteiktais</w:t>
            </w:r>
            <w:r w:rsidRPr="005876F3">
              <w:rPr>
                <w:sz w:val="22"/>
                <w:szCs w:val="22"/>
              </w:rPr>
              <w:t xml:space="preserve"> maksimālais sods, kādu regulators var piemērot par regulējamo nozaru normatīvo aktu pārkāpšanu</w:t>
            </w:r>
            <w:r w:rsidR="00C37458">
              <w:rPr>
                <w:sz w:val="22"/>
                <w:szCs w:val="22"/>
              </w:rPr>
              <w:t xml:space="preserve"> (</w:t>
            </w:r>
            <w:proofErr w:type="spellStart"/>
            <w:r w:rsidRPr="005876F3">
              <w:rPr>
                <w:sz w:val="22"/>
                <w:szCs w:val="22"/>
              </w:rPr>
              <w:t>desmittūkstoš</w:t>
            </w:r>
            <w:proofErr w:type="spellEnd"/>
            <w:r w:rsidRPr="005876F3">
              <w:rPr>
                <w:sz w:val="22"/>
                <w:szCs w:val="22"/>
              </w:rPr>
              <w:t xml:space="preserve"> latu</w:t>
            </w:r>
            <w:r w:rsidR="00C37458">
              <w:rPr>
                <w:sz w:val="22"/>
                <w:szCs w:val="22"/>
              </w:rPr>
              <w:t>)</w:t>
            </w:r>
            <w:r w:rsidRPr="005876F3">
              <w:rPr>
                <w:sz w:val="22"/>
                <w:szCs w:val="22"/>
              </w:rPr>
              <w:t>, nav uzskatāms par iedarbīgu, samērīgu un atturošu sankciju</w:t>
            </w:r>
            <w:r w:rsidR="00C37458">
              <w:rPr>
                <w:sz w:val="22"/>
                <w:szCs w:val="22"/>
              </w:rPr>
              <w:t>.</w:t>
            </w:r>
            <w:r w:rsidRPr="005876F3">
              <w:rPr>
                <w:sz w:val="22"/>
                <w:szCs w:val="22"/>
              </w:rPr>
              <w:t xml:space="preserve"> </w:t>
            </w:r>
          </w:p>
          <w:p w:rsidR="00C37458" w:rsidRDefault="00C37458" w:rsidP="0024490A">
            <w:pPr>
              <w:pStyle w:val="naiskr"/>
              <w:spacing w:before="0" w:after="0"/>
              <w:ind w:hanging="5"/>
              <w:jc w:val="both"/>
              <w:rPr>
                <w:sz w:val="22"/>
                <w:szCs w:val="22"/>
              </w:rPr>
            </w:pPr>
          </w:p>
          <w:p w:rsidR="0024490A" w:rsidRDefault="00F878B6" w:rsidP="0024490A">
            <w:pPr>
              <w:pStyle w:val="naiskr"/>
              <w:spacing w:before="0" w:after="0"/>
              <w:ind w:hanging="5"/>
              <w:jc w:val="both"/>
              <w:rPr>
                <w:sz w:val="22"/>
                <w:szCs w:val="22"/>
              </w:rPr>
            </w:pPr>
            <w:r>
              <w:rPr>
                <w:sz w:val="22"/>
                <w:szCs w:val="22"/>
              </w:rPr>
              <w:t>G</w:t>
            </w:r>
            <w:r w:rsidR="0024117C" w:rsidRPr="00B819C2">
              <w:rPr>
                <w:sz w:val="22"/>
                <w:szCs w:val="22"/>
              </w:rPr>
              <w:t xml:space="preserve">adījumi, </w:t>
            </w:r>
            <w:r w:rsidR="009E16D8" w:rsidRPr="00B819C2">
              <w:rPr>
                <w:sz w:val="22"/>
                <w:szCs w:val="22"/>
              </w:rPr>
              <w:t xml:space="preserve">kad </w:t>
            </w:r>
            <w:r w:rsidR="0024117C" w:rsidRPr="00B819C2">
              <w:rPr>
                <w:sz w:val="22"/>
                <w:szCs w:val="22"/>
              </w:rPr>
              <w:t xml:space="preserve">elektroenerģijas sistēmas operators, sistēmas īpašnieks, ražotājs, tirgotājs vai tirgus dalībnieks, </w:t>
            </w:r>
            <w:r w:rsidR="009E16D8" w:rsidRPr="00B819C2">
              <w:rPr>
                <w:sz w:val="22"/>
                <w:szCs w:val="22"/>
              </w:rPr>
              <w:t>nepilda Elektroenerģijas tirgus likum</w:t>
            </w:r>
            <w:r w:rsidR="009B2156" w:rsidRPr="00B819C2">
              <w:rPr>
                <w:sz w:val="22"/>
                <w:szCs w:val="22"/>
              </w:rPr>
              <w:t xml:space="preserve">a </w:t>
            </w:r>
            <w:r>
              <w:rPr>
                <w:sz w:val="22"/>
                <w:szCs w:val="22"/>
              </w:rPr>
              <w:t xml:space="preserve">un REMIT </w:t>
            </w:r>
            <w:r w:rsidR="009B2156" w:rsidRPr="00B819C2">
              <w:rPr>
                <w:sz w:val="22"/>
                <w:szCs w:val="22"/>
              </w:rPr>
              <w:t>prasības</w:t>
            </w:r>
            <w:r w:rsidR="009E16D8" w:rsidRPr="00B819C2">
              <w:rPr>
                <w:sz w:val="22"/>
                <w:szCs w:val="22"/>
              </w:rPr>
              <w:t xml:space="preserve"> </w:t>
            </w:r>
            <w:r w:rsidR="009B2156" w:rsidRPr="00B819C2">
              <w:rPr>
                <w:sz w:val="22"/>
                <w:szCs w:val="22"/>
              </w:rPr>
              <w:t>pārsvarā ir</w:t>
            </w:r>
            <w:r w:rsidR="009E16D8" w:rsidRPr="00B819C2">
              <w:rPr>
                <w:sz w:val="22"/>
                <w:szCs w:val="22"/>
              </w:rPr>
              <w:t xml:space="preserve"> sarežģīti</w:t>
            </w:r>
            <w:r>
              <w:rPr>
                <w:sz w:val="22"/>
                <w:szCs w:val="22"/>
              </w:rPr>
              <w:t>. Šādu pārkāpumu konstatēšanai,</w:t>
            </w:r>
            <w:r w:rsidR="009E16D8" w:rsidRPr="00B819C2">
              <w:rPr>
                <w:sz w:val="22"/>
                <w:szCs w:val="22"/>
              </w:rPr>
              <w:t xml:space="preserve"> izvērtēšanai</w:t>
            </w:r>
            <w:r w:rsidR="00B819C2" w:rsidRPr="00B819C2">
              <w:rPr>
                <w:sz w:val="22"/>
                <w:szCs w:val="22"/>
              </w:rPr>
              <w:t>, pierādījumu iegūšanai un  pārbaudei</w:t>
            </w:r>
            <w:r w:rsidR="009E16D8" w:rsidRPr="00B819C2">
              <w:rPr>
                <w:sz w:val="22"/>
                <w:szCs w:val="22"/>
              </w:rPr>
              <w:t xml:space="preserve"> </w:t>
            </w:r>
            <w:r w:rsidR="009B2156" w:rsidRPr="00B819C2">
              <w:rPr>
                <w:sz w:val="22"/>
                <w:szCs w:val="22"/>
              </w:rPr>
              <w:t>ir nepieciešams ilgs laiks,</w:t>
            </w:r>
            <w:r>
              <w:rPr>
                <w:sz w:val="22"/>
                <w:szCs w:val="22"/>
              </w:rPr>
              <w:t xml:space="preserve"> it īpaši, ja pārkāpumi ir saistīti ar pārrobežu tirdzniecību un starpvalstu savienojumiem, jo šādos gadījumos ir nepieciešama papildu informācijas iegūšana no citu valstu komersantiem, regulatīvajām iestādēm, kā arī konsultācijas ar Eiropas komisiju, ACER, Konkurences padomi un Finanšu un kapitāla tirgus komisiju.</w:t>
            </w:r>
            <w:r w:rsidR="009B2156" w:rsidRPr="00B819C2">
              <w:rPr>
                <w:sz w:val="22"/>
                <w:szCs w:val="22"/>
              </w:rPr>
              <w:t xml:space="preserve"> </w:t>
            </w:r>
            <w:r>
              <w:rPr>
                <w:sz w:val="22"/>
                <w:szCs w:val="22"/>
              </w:rPr>
              <w:t>Līdz ar to  nav iespējams ievērot</w:t>
            </w:r>
            <w:r w:rsidR="009B2156" w:rsidRPr="00B819C2">
              <w:rPr>
                <w:sz w:val="22"/>
                <w:szCs w:val="22"/>
              </w:rPr>
              <w:t xml:space="preserve"> LAPK </w:t>
            </w:r>
            <w:r w:rsidRPr="00B819C2">
              <w:rPr>
                <w:sz w:val="22"/>
                <w:szCs w:val="22"/>
              </w:rPr>
              <w:t>noteikt</w:t>
            </w:r>
            <w:r>
              <w:rPr>
                <w:sz w:val="22"/>
                <w:szCs w:val="22"/>
              </w:rPr>
              <w:t>os</w:t>
            </w:r>
            <w:r w:rsidRPr="00B819C2">
              <w:rPr>
                <w:sz w:val="22"/>
                <w:szCs w:val="22"/>
              </w:rPr>
              <w:t xml:space="preserve"> termiņ</w:t>
            </w:r>
            <w:r>
              <w:rPr>
                <w:sz w:val="22"/>
                <w:szCs w:val="22"/>
              </w:rPr>
              <w:t>us</w:t>
            </w:r>
            <w:r w:rsidRPr="00B819C2">
              <w:rPr>
                <w:sz w:val="22"/>
                <w:szCs w:val="22"/>
              </w:rPr>
              <w:t xml:space="preserve"> </w:t>
            </w:r>
            <w:r w:rsidR="009B2156" w:rsidRPr="00B819C2">
              <w:rPr>
                <w:sz w:val="22"/>
                <w:szCs w:val="22"/>
              </w:rPr>
              <w:t>lietas ierosināšanai un izskatīšanai</w:t>
            </w:r>
            <w:r>
              <w:rPr>
                <w:sz w:val="22"/>
                <w:szCs w:val="22"/>
              </w:rPr>
              <w:t>.</w:t>
            </w:r>
          </w:p>
          <w:p w:rsidR="00C37458" w:rsidRDefault="00C37458" w:rsidP="0024490A">
            <w:pPr>
              <w:pStyle w:val="naiskr"/>
              <w:spacing w:before="0" w:after="0"/>
              <w:ind w:hanging="5"/>
              <w:jc w:val="both"/>
              <w:rPr>
                <w:sz w:val="22"/>
                <w:szCs w:val="22"/>
              </w:rPr>
            </w:pPr>
          </w:p>
          <w:p w:rsidR="00BA50DA" w:rsidRDefault="00C37458">
            <w:pPr>
              <w:pStyle w:val="naiskr"/>
              <w:spacing w:before="0" w:after="0"/>
              <w:ind w:hanging="5"/>
              <w:jc w:val="both"/>
              <w:rPr>
                <w:sz w:val="22"/>
                <w:szCs w:val="22"/>
              </w:rPr>
            </w:pPr>
            <w:r>
              <w:rPr>
                <w:sz w:val="22"/>
                <w:szCs w:val="22"/>
              </w:rPr>
              <w:t xml:space="preserve">LAPK </w:t>
            </w:r>
            <w:r w:rsidRPr="005876F3">
              <w:rPr>
                <w:sz w:val="22"/>
                <w:szCs w:val="22"/>
              </w:rPr>
              <w:t>maksimālais sods</w:t>
            </w:r>
            <w:r>
              <w:rPr>
                <w:sz w:val="22"/>
                <w:szCs w:val="22"/>
              </w:rPr>
              <w:t xml:space="preserve"> (ietekmēšanas līdzeklis)</w:t>
            </w:r>
            <w:r w:rsidRPr="005876F3">
              <w:rPr>
                <w:sz w:val="22"/>
                <w:szCs w:val="22"/>
              </w:rPr>
              <w:t>, kādu regulators var piemērot par regulējamo nozaru normatīvo aktu pārkāpšanu</w:t>
            </w:r>
            <w:r>
              <w:rPr>
                <w:sz w:val="22"/>
                <w:szCs w:val="22"/>
              </w:rPr>
              <w:t>,</w:t>
            </w:r>
            <w:r w:rsidRPr="005876F3">
              <w:rPr>
                <w:sz w:val="22"/>
                <w:szCs w:val="22"/>
              </w:rPr>
              <w:t xml:space="preserve"> </w:t>
            </w:r>
            <w:r w:rsidR="00F9315B">
              <w:rPr>
                <w:sz w:val="22"/>
                <w:szCs w:val="22"/>
              </w:rPr>
              <w:t xml:space="preserve">ņemot vērā arī LAPK paredzēto lēmuma pārsūdzības kārtību, </w:t>
            </w:r>
            <w:r w:rsidRPr="005876F3">
              <w:rPr>
                <w:sz w:val="22"/>
                <w:szCs w:val="22"/>
              </w:rPr>
              <w:t>nemotivē atturēties no pārkāpuma izdarīšanas vai to izbeigt un nereti nav samērojams ar pārkāpēja ieguvumu pārkāpuma rezultātā.</w:t>
            </w:r>
            <w:r>
              <w:rPr>
                <w:sz w:val="22"/>
                <w:szCs w:val="22"/>
              </w:rPr>
              <w:t xml:space="preserve"> </w:t>
            </w:r>
            <w:r w:rsidR="00BA50DA">
              <w:rPr>
                <w:sz w:val="22"/>
                <w:szCs w:val="22"/>
              </w:rPr>
              <w:t xml:space="preserve">2011.gadā </w:t>
            </w:r>
            <w:r w:rsidR="00F77DF3">
              <w:rPr>
                <w:sz w:val="22"/>
                <w:szCs w:val="22"/>
              </w:rPr>
              <w:t xml:space="preserve">regulators </w:t>
            </w:r>
            <w:r w:rsidR="00B51313">
              <w:rPr>
                <w:sz w:val="22"/>
                <w:szCs w:val="22"/>
              </w:rPr>
              <w:t xml:space="preserve">par regulējamo nozaru normatīvo aktu pārkāpumiem </w:t>
            </w:r>
            <w:r w:rsidR="00CC3DD2">
              <w:rPr>
                <w:sz w:val="22"/>
                <w:szCs w:val="22"/>
              </w:rPr>
              <w:t xml:space="preserve">95 komersantiem  </w:t>
            </w:r>
            <w:r w:rsidR="00F77DF3">
              <w:rPr>
                <w:sz w:val="22"/>
                <w:szCs w:val="22"/>
              </w:rPr>
              <w:t>piemēroja administratīvo sodu, tostarp</w:t>
            </w:r>
            <w:r w:rsidR="00B51313">
              <w:rPr>
                <w:sz w:val="22"/>
                <w:szCs w:val="22"/>
              </w:rPr>
              <w:t xml:space="preserve"> </w:t>
            </w:r>
            <w:r w:rsidR="002F152D">
              <w:rPr>
                <w:sz w:val="22"/>
                <w:szCs w:val="22"/>
              </w:rPr>
              <w:t xml:space="preserve">39 komersantiem uzlika naudas sodu par pārkāpumu nenovēršanu un atkārtotu pārkāpumu izdarīšanu. Savukārt 2012.gadā </w:t>
            </w:r>
            <w:r w:rsidR="00F77DF3">
              <w:rPr>
                <w:sz w:val="22"/>
                <w:szCs w:val="22"/>
              </w:rPr>
              <w:t>sodīti tika 80 komersanti</w:t>
            </w:r>
            <w:r w:rsidR="002F152D">
              <w:rPr>
                <w:sz w:val="22"/>
                <w:szCs w:val="22"/>
              </w:rPr>
              <w:t xml:space="preserve">, </w:t>
            </w:r>
            <w:r w:rsidR="00F77DF3">
              <w:rPr>
                <w:sz w:val="22"/>
                <w:szCs w:val="22"/>
              </w:rPr>
              <w:t xml:space="preserve">no kuriem </w:t>
            </w:r>
            <w:r w:rsidR="002F152D">
              <w:rPr>
                <w:sz w:val="22"/>
                <w:szCs w:val="22"/>
              </w:rPr>
              <w:t>naudas sodu par  pārkāpumu nenovēršanu un atkārtotu pārkāpumu izdarīšanu uzlika 17 komersantiem.</w:t>
            </w:r>
          </w:p>
          <w:p w:rsidR="002F152D" w:rsidRDefault="002F152D">
            <w:pPr>
              <w:pStyle w:val="naiskr"/>
              <w:spacing w:before="0" w:after="0"/>
              <w:ind w:hanging="5"/>
              <w:jc w:val="both"/>
              <w:rPr>
                <w:sz w:val="22"/>
                <w:szCs w:val="22"/>
              </w:rPr>
            </w:pPr>
          </w:p>
          <w:p w:rsidR="005C4483" w:rsidRDefault="002F152D">
            <w:pPr>
              <w:pStyle w:val="naiskr"/>
              <w:spacing w:before="0" w:after="0"/>
              <w:ind w:hanging="5"/>
              <w:jc w:val="both"/>
              <w:rPr>
                <w:sz w:val="22"/>
                <w:szCs w:val="22"/>
              </w:rPr>
            </w:pPr>
            <w:r>
              <w:rPr>
                <w:sz w:val="22"/>
                <w:szCs w:val="22"/>
              </w:rPr>
              <w:t>Regulatora pieredze liecina, ka tirgus apstākļos</w:t>
            </w:r>
            <w:r w:rsidR="00F77DF3">
              <w:rPr>
                <w:sz w:val="22"/>
                <w:szCs w:val="22"/>
              </w:rPr>
              <w:t xml:space="preserve"> </w:t>
            </w:r>
            <w:r w:rsidR="00004F4D">
              <w:rPr>
                <w:sz w:val="22"/>
                <w:szCs w:val="22"/>
              </w:rPr>
              <w:t xml:space="preserve">regulējamo nozaru normatīvo aktu prasību neievērošana </w:t>
            </w:r>
            <w:r w:rsidR="00F77DF3">
              <w:rPr>
                <w:sz w:val="22"/>
                <w:szCs w:val="22"/>
              </w:rPr>
              <w:t xml:space="preserve">atsevišķiem komersantiem </w:t>
            </w:r>
            <w:r w:rsidR="00004F4D">
              <w:rPr>
                <w:sz w:val="22"/>
                <w:szCs w:val="22"/>
              </w:rPr>
              <w:t xml:space="preserve">var radīt izdevīgākus apstākļus, kas </w:t>
            </w:r>
            <w:r w:rsidR="00F77DF3">
              <w:rPr>
                <w:sz w:val="22"/>
                <w:szCs w:val="22"/>
              </w:rPr>
              <w:t xml:space="preserve">kavē konkurences attīstību un </w:t>
            </w:r>
            <w:r w:rsidR="00004F4D">
              <w:rPr>
                <w:sz w:val="22"/>
                <w:szCs w:val="22"/>
              </w:rPr>
              <w:t xml:space="preserve">ir pretēji citu </w:t>
            </w:r>
            <w:r w:rsidR="00F77DF3">
              <w:rPr>
                <w:sz w:val="22"/>
                <w:szCs w:val="22"/>
              </w:rPr>
              <w:t>tirgus dalībnieku</w:t>
            </w:r>
            <w:r w:rsidR="00004F4D">
              <w:rPr>
                <w:sz w:val="22"/>
                <w:szCs w:val="22"/>
              </w:rPr>
              <w:t xml:space="preserve"> un lietotāju interesēm. Tā, piemēram, informācijas neiesniegšana var kavēt regulatoru objektīvi novērtēt tirgu un savlaicīgi veikt pasākumus konkurenci ierobežojošu </w:t>
            </w:r>
            <w:r w:rsidR="005F4DC5">
              <w:rPr>
                <w:sz w:val="22"/>
                <w:szCs w:val="22"/>
              </w:rPr>
              <w:t>darbību novēršanai</w:t>
            </w:r>
            <w:r w:rsidR="00004F4D">
              <w:rPr>
                <w:sz w:val="22"/>
                <w:szCs w:val="22"/>
              </w:rPr>
              <w:t xml:space="preserve">. </w:t>
            </w:r>
            <w:r w:rsidR="005C4483">
              <w:rPr>
                <w:sz w:val="22"/>
                <w:szCs w:val="22"/>
              </w:rPr>
              <w:t xml:space="preserve">Tāpēc ir būtiski nodrošināt, lai tie ietekmēšanas līdzekļi, kurus regulators ir tiesīgs piemērot par regulējamo nozaru normatīvo aktu prasību neievērošanu, būtu </w:t>
            </w:r>
            <w:r w:rsidR="005C4483" w:rsidRPr="003F2B6D">
              <w:rPr>
                <w:sz w:val="22"/>
                <w:szCs w:val="22"/>
              </w:rPr>
              <w:t>iedarbīg</w:t>
            </w:r>
            <w:r w:rsidR="005C4483">
              <w:rPr>
                <w:sz w:val="22"/>
                <w:szCs w:val="22"/>
              </w:rPr>
              <w:t>i</w:t>
            </w:r>
            <w:r w:rsidR="005C4483" w:rsidRPr="003F2B6D">
              <w:rPr>
                <w:sz w:val="22"/>
                <w:szCs w:val="22"/>
              </w:rPr>
              <w:t>, samērīg</w:t>
            </w:r>
            <w:r w:rsidR="005C4483">
              <w:rPr>
                <w:sz w:val="22"/>
                <w:szCs w:val="22"/>
              </w:rPr>
              <w:t>i</w:t>
            </w:r>
            <w:r w:rsidR="005C4483" w:rsidRPr="003F2B6D">
              <w:rPr>
                <w:sz w:val="22"/>
                <w:szCs w:val="22"/>
              </w:rPr>
              <w:t xml:space="preserve"> un atturoš</w:t>
            </w:r>
            <w:r w:rsidR="005C4483">
              <w:rPr>
                <w:sz w:val="22"/>
                <w:szCs w:val="22"/>
              </w:rPr>
              <w:t>i.</w:t>
            </w:r>
          </w:p>
          <w:p w:rsidR="005C4483" w:rsidRDefault="005C4483">
            <w:pPr>
              <w:pStyle w:val="naiskr"/>
              <w:spacing w:before="0" w:after="0"/>
              <w:ind w:hanging="5"/>
              <w:jc w:val="both"/>
              <w:rPr>
                <w:sz w:val="22"/>
                <w:szCs w:val="22"/>
              </w:rPr>
            </w:pPr>
          </w:p>
          <w:p w:rsidR="0024490A" w:rsidRPr="005876F3" w:rsidRDefault="00C37458" w:rsidP="00F84CD4">
            <w:pPr>
              <w:pStyle w:val="naiskr"/>
              <w:spacing w:before="0" w:after="0"/>
              <w:ind w:hanging="5"/>
              <w:jc w:val="both"/>
              <w:rPr>
                <w:sz w:val="22"/>
                <w:szCs w:val="22"/>
              </w:rPr>
            </w:pPr>
            <w:r>
              <w:rPr>
                <w:sz w:val="22"/>
                <w:szCs w:val="22"/>
              </w:rPr>
              <w:t xml:space="preserve">Lai ietekmēšanas līdzeklis būtu </w:t>
            </w:r>
            <w:r>
              <w:rPr>
                <w:bCs/>
                <w:sz w:val="22"/>
                <w:szCs w:val="22"/>
              </w:rPr>
              <w:t xml:space="preserve">samērīgs ar ieguvumu, kādu </w:t>
            </w:r>
            <w:r w:rsidRPr="005876F3">
              <w:rPr>
                <w:bCs/>
                <w:sz w:val="22"/>
                <w:szCs w:val="22"/>
              </w:rPr>
              <w:t>sistēmas operator</w:t>
            </w:r>
            <w:r>
              <w:rPr>
                <w:bCs/>
                <w:sz w:val="22"/>
                <w:szCs w:val="22"/>
              </w:rPr>
              <w:t>s</w:t>
            </w:r>
            <w:r w:rsidRPr="005876F3">
              <w:rPr>
                <w:bCs/>
                <w:sz w:val="22"/>
                <w:szCs w:val="22"/>
              </w:rPr>
              <w:t>, elektroenerģijas sistēmas īpašniek</w:t>
            </w:r>
            <w:r>
              <w:rPr>
                <w:bCs/>
                <w:sz w:val="22"/>
                <w:szCs w:val="22"/>
              </w:rPr>
              <w:t>s</w:t>
            </w:r>
            <w:r w:rsidRPr="005876F3">
              <w:rPr>
                <w:bCs/>
                <w:sz w:val="22"/>
                <w:szCs w:val="22"/>
              </w:rPr>
              <w:t>, elektroenerģijas ražotāj</w:t>
            </w:r>
            <w:r>
              <w:rPr>
                <w:bCs/>
                <w:sz w:val="22"/>
                <w:szCs w:val="22"/>
              </w:rPr>
              <w:t>s</w:t>
            </w:r>
            <w:r w:rsidRPr="005876F3">
              <w:rPr>
                <w:bCs/>
                <w:sz w:val="22"/>
                <w:szCs w:val="22"/>
              </w:rPr>
              <w:t>, elektroenerģijas tirgotāj</w:t>
            </w:r>
            <w:r>
              <w:rPr>
                <w:bCs/>
                <w:sz w:val="22"/>
                <w:szCs w:val="22"/>
              </w:rPr>
              <w:t>s</w:t>
            </w:r>
            <w:r w:rsidRPr="005876F3">
              <w:rPr>
                <w:bCs/>
                <w:sz w:val="22"/>
                <w:szCs w:val="22"/>
              </w:rPr>
              <w:t xml:space="preserve"> </w:t>
            </w:r>
            <w:r>
              <w:rPr>
                <w:bCs/>
                <w:sz w:val="22"/>
                <w:szCs w:val="22"/>
              </w:rPr>
              <w:t>vai</w:t>
            </w:r>
            <w:r w:rsidRPr="005876F3">
              <w:rPr>
                <w:bCs/>
                <w:sz w:val="22"/>
                <w:szCs w:val="22"/>
              </w:rPr>
              <w:t xml:space="preserve"> tirgus dalībniek</w:t>
            </w:r>
            <w:r>
              <w:rPr>
                <w:bCs/>
                <w:sz w:val="22"/>
                <w:szCs w:val="22"/>
              </w:rPr>
              <w:t xml:space="preserve">s varētu gūt vai ir ieguvis, pārkāpjot Elektroenerģijas tirgus likuma un REMIT prasības, būtiski ir sasaistīt ietekmēšanas līdzekli ar komersanta finanšu gada neto </w:t>
            </w:r>
            <w:proofErr w:type="spellStart"/>
            <w:r>
              <w:rPr>
                <w:bCs/>
                <w:sz w:val="22"/>
                <w:szCs w:val="22"/>
              </w:rPr>
              <w:t>apgrozījumu.</w:t>
            </w:r>
            <w:r w:rsidR="0024490A" w:rsidRPr="005876F3">
              <w:rPr>
                <w:sz w:val="22"/>
                <w:szCs w:val="22"/>
              </w:rPr>
              <w:t>Eiropas</w:t>
            </w:r>
            <w:proofErr w:type="spellEnd"/>
            <w:r w:rsidR="0024490A" w:rsidRPr="005876F3">
              <w:rPr>
                <w:sz w:val="22"/>
                <w:szCs w:val="22"/>
              </w:rPr>
              <w:t xml:space="preserve"> Komisija vairakkārt ir norādījusi, ka iedarbīgu, samērīgu un atturošu administratīvo sodu apmēram būtu jābūt tādam, lai tas pārsniegtu iespējamo komersanta ieguvumu no pārkāpuma (skat., piemēram, EK komunikāciju par sodu režīma ieviešanu finanšu pakalpojumu sektorā, </w:t>
            </w:r>
            <w:hyperlink r:id="rId8" w:history="1">
              <w:r w:rsidR="003F2B6D" w:rsidRPr="00F84CD4">
                <w:rPr>
                  <w:rStyle w:val="Hyperlink"/>
                  <w:color w:val="auto"/>
                  <w:sz w:val="22"/>
                </w:rPr>
                <w:t>http://eur-lex.europa.eu/LexUriServ/LexUriServ.do?uri=COM:2010:0716:FIN:EN:PDF</w:t>
              </w:r>
            </w:hyperlink>
            <w:r w:rsidR="0024490A" w:rsidRPr="005876F3">
              <w:rPr>
                <w:sz w:val="22"/>
                <w:szCs w:val="22"/>
              </w:rPr>
              <w:t>).</w:t>
            </w:r>
          </w:p>
          <w:p w:rsidR="001554EC" w:rsidRDefault="001554EC" w:rsidP="001554EC">
            <w:pPr>
              <w:pStyle w:val="Style8"/>
              <w:spacing w:after="120" w:line="240" w:lineRule="auto"/>
              <w:ind w:firstLine="0"/>
              <w:jc w:val="both"/>
              <w:rPr>
                <w:rFonts w:ascii="Times New Roman" w:hAnsi="Times New Roman"/>
                <w:sz w:val="22"/>
                <w:szCs w:val="22"/>
              </w:rPr>
            </w:pPr>
            <w:r>
              <w:rPr>
                <w:rFonts w:ascii="Times New Roman" w:hAnsi="Times New Roman"/>
                <w:sz w:val="22"/>
                <w:szCs w:val="22"/>
              </w:rPr>
              <w:t>Lai gan regulators regulē sabiedrisko pakalpojumu sniegšanu vairākās nozarēs, katra no nozarēm ir atšķir</w:t>
            </w:r>
            <w:r w:rsidR="004E0BF2">
              <w:rPr>
                <w:rFonts w:ascii="Times New Roman" w:hAnsi="Times New Roman"/>
                <w:sz w:val="22"/>
                <w:szCs w:val="22"/>
              </w:rPr>
              <w:t xml:space="preserve">īga (piemēram, nepieciešamās infrastruktūras dēļ). Nozares būtiski atšķiras ar to, </w:t>
            </w:r>
            <w:r w:rsidR="00630F7B">
              <w:rPr>
                <w:rFonts w:ascii="Times New Roman" w:hAnsi="Times New Roman"/>
                <w:sz w:val="22"/>
                <w:szCs w:val="22"/>
              </w:rPr>
              <w:t xml:space="preserve">kādas prasības </w:t>
            </w:r>
            <w:r w:rsidR="00C41351">
              <w:rPr>
                <w:rFonts w:ascii="Times New Roman" w:hAnsi="Times New Roman"/>
                <w:sz w:val="22"/>
                <w:szCs w:val="22"/>
              </w:rPr>
              <w:t xml:space="preserve">nozaru speciālajos normatīvajos aktos, tostarp Eiropas Savienības normatīvajos aktos, </w:t>
            </w:r>
            <w:r w:rsidR="00630F7B">
              <w:rPr>
                <w:rFonts w:ascii="Times New Roman" w:hAnsi="Times New Roman"/>
                <w:sz w:val="22"/>
                <w:szCs w:val="22"/>
              </w:rPr>
              <w:t xml:space="preserve">sabiedrisko pakalpojumu sniedzējiem ir noteiktas, </w:t>
            </w:r>
            <w:r w:rsidR="004E0BF2">
              <w:rPr>
                <w:rFonts w:ascii="Times New Roman" w:hAnsi="Times New Roman"/>
                <w:sz w:val="22"/>
                <w:szCs w:val="22"/>
              </w:rPr>
              <w:t>cik attīstīts ir tirgus šajās nozarēs, līdz ar to arī kādu kaitējumu, pārkāpjot normatīvo aktu prasības, komersants var nodar</w:t>
            </w:r>
            <w:r w:rsidR="00630F7B">
              <w:rPr>
                <w:rFonts w:ascii="Times New Roman" w:hAnsi="Times New Roman"/>
                <w:sz w:val="22"/>
                <w:szCs w:val="22"/>
              </w:rPr>
              <w:t>īt</w:t>
            </w:r>
            <w:r w:rsidR="00F41346">
              <w:rPr>
                <w:rFonts w:ascii="Times New Roman" w:hAnsi="Times New Roman"/>
                <w:sz w:val="22"/>
                <w:szCs w:val="22"/>
              </w:rPr>
              <w:t xml:space="preserve"> lietotāju (sabiedrības) interesēm</w:t>
            </w:r>
            <w:r w:rsidR="00630F7B">
              <w:rPr>
                <w:rFonts w:ascii="Times New Roman" w:hAnsi="Times New Roman"/>
                <w:sz w:val="22"/>
                <w:szCs w:val="22"/>
              </w:rPr>
              <w:t xml:space="preserve">. Tāpēc </w:t>
            </w:r>
            <w:r w:rsidR="00C41351">
              <w:rPr>
                <w:rFonts w:ascii="Times New Roman" w:hAnsi="Times New Roman"/>
                <w:sz w:val="22"/>
                <w:szCs w:val="22"/>
              </w:rPr>
              <w:t xml:space="preserve">visas nozares nav tieši salīdzināmas un </w:t>
            </w:r>
            <w:r w:rsidR="00630F7B">
              <w:rPr>
                <w:rFonts w:ascii="Times New Roman" w:hAnsi="Times New Roman"/>
                <w:sz w:val="22"/>
                <w:szCs w:val="22"/>
              </w:rPr>
              <w:t xml:space="preserve">nozaru speciālo normatīvo aktu prasību ievērošanas efektīvai nodrošināšanai </w:t>
            </w:r>
            <w:r w:rsidR="00C41351">
              <w:rPr>
                <w:rFonts w:ascii="Times New Roman" w:hAnsi="Times New Roman"/>
                <w:sz w:val="22"/>
                <w:szCs w:val="22"/>
              </w:rPr>
              <w:t>ir</w:t>
            </w:r>
            <w:r w:rsidR="00630F7B">
              <w:rPr>
                <w:rFonts w:ascii="Times New Roman" w:hAnsi="Times New Roman"/>
                <w:sz w:val="22"/>
                <w:szCs w:val="22"/>
              </w:rPr>
              <w:t xml:space="preserve"> nepieciešami atšķirīgi ietekmēšanas līdzekļi.</w:t>
            </w:r>
            <w:r w:rsidR="00C41351">
              <w:rPr>
                <w:rFonts w:ascii="Times New Roman" w:hAnsi="Times New Roman"/>
                <w:sz w:val="22"/>
                <w:szCs w:val="22"/>
              </w:rPr>
              <w:t xml:space="preserve"> Šobrīd tikai enerģētikā ir konkrētas Eiropas Savienības normatīvo aktu prasības attiecībā uz sankciju (ietekmēšanas līdzekļu) apmēru.</w:t>
            </w:r>
          </w:p>
          <w:p w:rsidR="001554EC" w:rsidRDefault="001554EC" w:rsidP="001554EC">
            <w:pPr>
              <w:pStyle w:val="Style8"/>
              <w:spacing w:after="120" w:line="240" w:lineRule="auto"/>
              <w:ind w:firstLine="0"/>
              <w:jc w:val="both"/>
              <w:rPr>
                <w:rFonts w:ascii="Times New Roman" w:hAnsi="Times New Roman"/>
                <w:sz w:val="22"/>
                <w:szCs w:val="22"/>
              </w:rPr>
            </w:pPr>
            <w:r>
              <w:rPr>
                <w:rFonts w:ascii="Times New Roman" w:hAnsi="Times New Roman"/>
                <w:sz w:val="22"/>
                <w:szCs w:val="22"/>
              </w:rPr>
              <w:t>J</w:t>
            </w:r>
            <w:r w:rsidRPr="00007FDB">
              <w:rPr>
                <w:rFonts w:ascii="Times New Roman" w:hAnsi="Times New Roman"/>
                <w:sz w:val="22"/>
                <w:szCs w:val="22"/>
              </w:rPr>
              <w:t xml:space="preserve">autājums </w:t>
            </w:r>
            <w:r>
              <w:rPr>
                <w:rFonts w:ascii="Times New Roman" w:hAnsi="Times New Roman"/>
                <w:sz w:val="22"/>
                <w:szCs w:val="22"/>
              </w:rPr>
              <w:t xml:space="preserve">par </w:t>
            </w:r>
            <w:r w:rsidRPr="00007FDB">
              <w:rPr>
                <w:rFonts w:ascii="Times New Roman" w:hAnsi="Times New Roman"/>
                <w:sz w:val="22"/>
                <w:szCs w:val="22"/>
              </w:rPr>
              <w:t>iedarbīg</w:t>
            </w:r>
            <w:r>
              <w:rPr>
                <w:rFonts w:ascii="Times New Roman" w:hAnsi="Times New Roman"/>
                <w:sz w:val="22"/>
                <w:szCs w:val="22"/>
              </w:rPr>
              <w:t>iem</w:t>
            </w:r>
            <w:r w:rsidRPr="00007FDB">
              <w:rPr>
                <w:rFonts w:ascii="Times New Roman" w:hAnsi="Times New Roman"/>
                <w:sz w:val="22"/>
                <w:szCs w:val="22"/>
              </w:rPr>
              <w:t>, samērīg</w:t>
            </w:r>
            <w:r>
              <w:rPr>
                <w:rFonts w:ascii="Times New Roman" w:hAnsi="Times New Roman"/>
                <w:sz w:val="22"/>
                <w:szCs w:val="22"/>
              </w:rPr>
              <w:t>iem</w:t>
            </w:r>
            <w:r w:rsidRPr="00007FDB">
              <w:rPr>
                <w:rFonts w:ascii="Times New Roman" w:hAnsi="Times New Roman"/>
                <w:sz w:val="22"/>
                <w:szCs w:val="22"/>
              </w:rPr>
              <w:t xml:space="preserve"> un atturoš</w:t>
            </w:r>
            <w:r>
              <w:rPr>
                <w:rFonts w:ascii="Times New Roman" w:hAnsi="Times New Roman"/>
                <w:sz w:val="22"/>
                <w:szCs w:val="22"/>
              </w:rPr>
              <w:t>iem</w:t>
            </w:r>
            <w:r w:rsidRPr="00007FDB">
              <w:rPr>
                <w:rFonts w:ascii="Times New Roman" w:hAnsi="Times New Roman"/>
                <w:sz w:val="22"/>
                <w:szCs w:val="22"/>
              </w:rPr>
              <w:t xml:space="preserve"> ietekmēšanas līdzekļ</w:t>
            </w:r>
            <w:r>
              <w:rPr>
                <w:rFonts w:ascii="Times New Roman" w:hAnsi="Times New Roman"/>
                <w:sz w:val="22"/>
                <w:szCs w:val="22"/>
              </w:rPr>
              <w:t>iem</w:t>
            </w:r>
            <w:r w:rsidRPr="00007FDB">
              <w:rPr>
                <w:rFonts w:ascii="Times New Roman" w:hAnsi="Times New Roman"/>
                <w:sz w:val="22"/>
                <w:szCs w:val="22"/>
              </w:rPr>
              <w:t xml:space="preserve"> ir aktuāls elektr</w:t>
            </w:r>
            <w:r>
              <w:rPr>
                <w:rFonts w:ascii="Times New Roman" w:hAnsi="Times New Roman"/>
                <w:sz w:val="22"/>
                <w:szCs w:val="22"/>
              </w:rPr>
              <w:t>oenerģijas tirgus uzraudzībā (pilnīga tirgus atvēršana,  pārvades sistēmas operatora</w:t>
            </w:r>
            <w:r w:rsidRPr="00007FDB">
              <w:rPr>
                <w:rFonts w:ascii="Times New Roman" w:hAnsi="Times New Roman"/>
                <w:sz w:val="22"/>
                <w:szCs w:val="22"/>
              </w:rPr>
              <w:t xml:space="preserve"> un sistēmas īpašnieka</w:t>
            </w:r>
            <w:r>
              <w:rPr>
                <w:rFonts w:ascii="Times New Roman" w:hAnsi="Times New Roman"/>
                <w:sz w:val="22"/>
                <w:szCs w:val="22"/>
              </w:rPr>
              <w:t xml:space="preserve"> darbības</w:t>
            </w:r>
            <w:r w:rsidRPr="00007FDB">
              <w:rPr>
                <w:rFonts w:ascii="Times New Roman" w:hAnsi="Times New Roman"/>
                <w:sz w:val="22"/>
                <w:szCs w:val="22"/>
              </w:rPr>
              <w:t xml:space="preserve"> uzraudzīb</w:t>
            </w:r>
            <w:r>
              <w:rPr>
                <w:rFonts w:ascii="Times New Roman" w:hAnsi="Times New Roman"/>
                <w:sz w:val="22"/>
                <w:szCs w:val="22"/>
              </w:rPr>
              <w:t>a, REMIT noteiktais termiņš, līdz kuram dalībvalstīm ir jāpaziņo par iedarbīgu, samērīgu u</w:t>
            </w:r>
            <w:r w:rsidR="00C41351">
              <w:rPr>
                <w:rFonts w:ascii="Times New Roman" w:hAnsi="Times New Roman"/>
                <w:sz w:val="22"/>
                <w:szCs w:val="22"/>
              </w:rPr>
              <w:t xml:space="preserve">n atturošu sankciju ieviešanu). </w:t>
            </w:r>
            <w:r>
              <w:rPr>
                <w:rFonts w:ascii="Times New Roman" w:hAnsi="Times New Roman"/>
                <w:sz w:val="22"/>
                <w:szCs w:val="22"/>
              </w:rPr>
              <w:t xml:space="preserve">Ar šiem likuma grozījumiem paredzētos ietekmēšanas līdzekļus plānots attiecināt arī uz dabasgāzes apgādes komersantiem, izdarot attiecīgos grozījumus Enerģētikas likumā </w:t>
            </w:r>
            <w:r w:rsidRPr="00007FDB">
              <w:rPr>
                <w:rFonts w:ascii="Times New Roman" w:hAnsi="Times New Roman"/>
                <w:sz w:val="22"/>
                <w:szCs w:val="22"/>
              </w:rPr>
              <w:t>un paredzot regulatoram tiesības piemērot iedarbīg</w:t>
            </w:r>
            <w:r>
              <w:rPr>
                <w:rFonts w:ascii="Times New Roman" w:hAnsi="Times New Roman"/>
                <w:sz w:val="22"/>
                <w:szCs w:val="22"/>
              </w:rPr>
              <w:t>us</w:t>
            </w:r>
            <w:r w:rsidRPr="00007FDB">
              <w:rPr>
                <w:rFonts w:ascii="Times New Roman" w:hAnsi="Times New Roman"/>
                <w:sz w:val="22"/>
                <w:szCs w:val="22"/>
              </w:rPr>
              <w:t>, samērīg</w:t>
            </w:r>
            <w:r>
              <w:rPr>
                <w:rFonts w:ascii="Times New Roman" w:hAnsi="Times New Roman"/>
                <w:sz w:val="22"/>
                <w:szCs w:val="22"/>
              </w:rPr>
              <w:t>us</w:t>
            </w:r>
            <w:r w:rsidRPr="00007FDB">
              <w:rPr>
                <w:rFonts w:ascii="Times New Roman" w:hAnsi="Times New Roman"/>
                <w:sz w:val="22"/>
                <w:szCs w:val="22"/>
              </w:rPr>
              <w:t xml:space="preserve"> un atturoš</w:t>
            </w:r>
            <w:r>
              <w:rPr>
                <w:rFonts w:ascii="Times New Roman" w:hAnsi="Times New Roman"/>
                <w:sz w:val="22"/>
                <w:szCs w:val="22"/>
              </w:rPr>
              <w:t>os ietekmēšanas līdzekļus</w:t>
            </w:r>
            <w:r w:rsidRPr="00007FDB">
              <w:rPr>
                <w:rFonts w:ascii="Times New Roman" w:hAnsi="Times New Roman"/>
                <w:sz w:val="22"/>
                <w:szCs w:val="22"/>
              </w:rPr>
              <w:t xml:space="preserve"> arī dabasgāzes apgādes komersantiem.</w:t>
            </w:r>
            <w:r>
              <w:rPr>
                <w:rFonts w:ascii="Times New Roman" w:hAnsi="Times New Roman"/>
                <w:sz w:val="22"/>
                <w:szCs w:val="22"/>
              </w:rPr>
              <w:t xml:space="preserve"> Tomēr, ņemot vērā, ka situācija dabasgāzes tirgū ir atšķirīga no situācijas elektroenerģijas tirgū, primāri ir nepieciešams pieņemt grozījumus Elektroenerģijas tirgus likumā.</w:t>
            </w:r>
          </w:p>
          <w:p w:rsidR="001554EC" w:rsidRDefault="001554EC" w:rsidP="0024490A">
            <w:pPr>
              <w:pStyle w:val="naiskr"/>
              <w:spacing w:before="0" w:after="0"/>
              <w:ind w:hanging="5"/>
              <w:jc w:val="both"/>
              <w:rPr>
                <w:sz w:val="22"/>
                <w:szCs w:val="22"/>
              </w:rPr>
            </w:pPr>
          </w:p>
          <w:p w:rsidR="00B22369" w:rsidRDefault="0024490A" w:rsidP="00EC2E44">
            <w:pPr>
              <w:pStyle w:val="naiskr"/>
              <w:spacing w:before="0" w:after="0"/>
              <w:ind w:hanging="5"/>
              <w:jc w:val="both"/>
              <w:rPr>
                <w:sz w:val="22"/>
                <w:szCs w:val="22"/>
              </w:rPr>
            </w:pPr>
            <w:r w:rsidRPr="005876F3">
              <w:rPr>
                <w:sz w:val="22"/>
                <w:szCs w:val="22"/>
              </w:rPr>
              <w:t xml:space="preserve">Latvijas likumdošanā jau šobrīd pastāv izņēmumi, kad par noteiktas nozares normatīvo aktu prasību neievērošanu tiek piemērots nevis </w:t>
            </w:r>
            <w:r w:rsidR="00B22369">
              <w:rPr>
                <w:sz w:val="22"/>
                <w:szCs w:val="22"/>
              </w:rPr>
              <w:t xml:space="preserve">LAPK </w:t>
            </w:r>
            <w:r w:rsidRPr="005876F3">
              <w:rPr>
                <w:sz w:val="22"/>
                <w:szCs w:val="22"/>
              </w:rPr>
              <w:t>noteiktais process un administratīvais sods, bet gan Administratīvā procesa likums un attiecīgās nozares speciālajā normatīvajā aktā noteiktais ietekmēšanas līdzeklis</w:t>
            </w:r>
            <w:r w:rsidR="00B22369">
              <w:rPr>
                <w:sz w:val="22"/>
                <w:szCs w:val="22"/>
              </w:rPr>
              <w:t xml:space="preserve"> par konkrētiem pārkāpumiem</w:t>
            </w:r>
            <w:r w:rsidRPr="005876F3">
              <w:rPr>
                <w:sz w:val="22"/>
                <w:szCs w:val="22"/>
              </w:rPr>
              <w:t>. Tā, piemēram, Konkurences likumā Konkurences padomei ir dotas tiesības par noteiktiem pārkāpumiem piemērot naudas sodu, kas tiek aprēķināts procentuāli no tirgus dalībnieka pēdējā finanšu gada neto apgrozījuma. Tāpat Finanšu un kapitāla tirgus komisijas likums paredz Finanšu un kapitāla tirgus komisijas tiesības piemērot soda naudu.</w:t>
            </w:r>
            <w:r w:rsidR="0024117C">
              <w:rPr>
                <w:sz w:val="22"/>
                <w:szCs w:val="22"/>
              </w:rPr>
              <w:t xml:space="preserve"> </w:t>
            </w:r>
          </w:p>
          <w:p w:rsidR="00B22369" w:rsidRDefault="00B22369" w:rsidP="00F84CD4">
            <w:pPr>
              <w:pStyle w:val="naiskr"/>
              <w:spacing w:before="0" w:after="0"/>
              <w:ind w:hanging="5"/>
              <w:jc w:val="both"/>
              <w:rPr>
                <w:sz w:val="22"/>
                <w:szCs w:val="22"/>
              </w:rPr>
            </w:pPr>
          </w:p>
          <w:p w:rsidR="00007FDB" w:rsidRDefault="0024490A" w:rsidP="005876F3">
            <w:pPr>
              <w:pStyle w:val="naiskr"/>
              <w:spacing w:before="0" w:after="0"/>
              <w:ind w:hanging="5"/>
              <w:jc w:val="both"/>
              <w:rPr>
                <w:sz w:val="22"/>
                <w:szCs w:val="22"/>
              </w:rPr>
            </w:pPr>
            <w:r w:rsidRPr="005876F3">
              <w:rPr>
                <w:sz w:val="22"/>
                <w:szCs w:val="22"/>
              </w:rPr>
              <w:t>Ņemot vērā to, ka valsts nodevas par sabiedrisko pakalpojumu regulēšanu likme saskaņā ar likuma „Par sabiedrisko pakalpojumu regulatoriem” 31.panta pirmo daļu tiek aprēķināta no komersanta sniegtā sabiedriskā pakalpojuma neto apgrozījuma iepriekšējā kalendāra gadā, regulatora rīcībā ir visa informācija, lai precīzi aprēķinātu soda naudu procentuāli no attiecīgā komersanta iepriekšējā finanšu gada neto apgrozījuma.</w:t>
            </w:r>
          </w:p>
          <w:p w:rsidR="00007FDB" w:rsidRPr="005876F3" w:rsidRDefault="00007FDB" w:rsidP="00F84CD4">
            <w:pPr>
              <w:pStyle w:val="Style8"/>
              <w:spacing w:after="120" w:line="240" w:lineRule="auto"/>
              <w:ind w:firstLine="0"/>
              <w:jc w:val="both"/>
              <w:rPr>
                <w:sz w:val="22"/>
                <w:szCs w:val="22"/>
              </w:rPr>
            </w:pPr>
          </w:p>
        </w:tc>
      </w:tr>
      <w:tr w:rsidR="00C6380E" w:rsidRPr="005876F3" w:rsidTr="00CB6338">
        <w:trPr>
          <w:trHeight w:val="554"/>
        </w:trPr>
        <w:tc>
          <w:tcPr>
            <w:tcW w:w="550" w:type="dxa"/>
          </w:tcPr>
          <w:p w:rsidR="00CE44D6" w:rsidRPr="005876F3" w:rsidRDefault="00CE44D6" w:rsidP="00A0154D">
            <w:pPr>
              <w:pStyle w:val="naiskr"/>
              <w:spacing w:before="0" w:after="0"/>
              <w:rPr>
                <w:sz w:val="22"/>
                <w:szCs w:val="22"/>
              </w:rPr>
            </w:pPr>
            <w:r w:rsidRPr="005876F3">
              <w:rPr>
                <w:sz w:val="22"/>
                <w:szCs w:val="22"/>
              </w:rPr>
              <w:lastRenderedPageBreak/>
              <w:t>3.</w:t>
            </w:r>
          </w:p>
        </w:tc>
        <w:tc>
          <w:tcPr>
            <w:tcW w:w="2716" w:type="dxa"/>
          </w:tcPr>
          <w:p w:rsidR="00CE44D6" w:rsidRPr="005876F3" w:rsidRDefault="00CE44D6" w:rsidP="00A0154D">
            <w:pPr>
              <w:pStyle w:val="naiskr"/>
              <w:spacing w:before="0" w:after="0"/>
              <w:rPr>
                <w:sz w:val="22"/>
                <w:szCs w:val="22"/>
              </w:rPr>
            </w:pPr>
            <w:r w:rsidRPr="005876F3">
              <w:rPr>
                <w:sz w:val="22"/>
                <w:szCs w:val="22"/>
              </w:rPr>
              <w:t>Saistītie politikas ietekmes novērtējumi un pētījumi</w:t>
            </w:r>
          </w:p>
        </w:tc>
        <w:tc>
          <w:tcPr>
            <w:tcW w:w="6459" w:type="dxa"/>
          </w:tcPr>
          <w:p w:rsidR="00FB27B5" w:rsidRPr="00F84CD4" w:rsidRDefault="00AC5A05" w:rsidP="00A0154D">
            <w:pPr>
              <w:pStyle w:val="FootnoteText"/>
              <w:contextualSpacing/>
              <w:jc w:val="both"/>
              <w:rPr>
                <w:sz w:val="22"/>
              </w:rPr>
            </w:pPr>
            <w:r w:rsidRPr="00F84CD4">
              <w:rPr>
                <w:sz w:val="22"/>
              </w:rPr>
              <w:t>Projekts šo jomu neskar.</w:t>
            </w:r>
          </w:p>
        </w:tc>
      </w:tr>
      <w:tr w:rsidR="00C6380E" w:rsidRPr="005876F3" w:rsidTr="0024490A">
        <w:trPr>
          <w:trHeight w:val="1550"/>
        </w:trPr>
        <w:tc>
          <w:tcPr>
            <w:tcW w:w="550" w:type="dxa"/>
          </w:tcPr>
          <w:p w:rsidR="00CE44D6" w:rsidRPr="005876F3" w:rsidRDefault="00CE44D6" w:rsidP="00A0154D">
            <w:pPr>
              <w:pStyle w:val="naiskr"/>
              <w:spacing w:before="0" w:after="0"/>
              <w:rPr>
                <w:sz w:val="22"/>
                <w:szCs w:val="22"/>
              </w:rPr>
            </w:pPr>
            <w:r w:rsidRPr="005876F3">
              <w:rPr>
                <w:sz w:val="22"/>
                <w:szCs w:val="22"/>
              </w:rPr>
              <w:lastRenderedPageBreak/>
              <w:t>4.</w:t>
            </w:r>
          </w:p>
        </w:tc>
        <w:tc>
          <w:tcPr>
            <w:tcW w:w="2716" w:type="dxa"/>
          </w:tcPr>
          <w:p w:rsidR="00CE44D6" w:rsidRPr="005876F3" w:rsidRDefault="00CE44D6" w:rsidP="00A0154D">
            <w:pPr>
              <w:pStyle w:val="naiskr"/>
              <w:spacing w:before="0" w:after="0"/>
              <w:rPr>
                <w:sz w:val="22"/>
                <w:szCs w:val="22"/>
              </w:rPr>
            </w:pPr>
            <w:r w:rsidRPr="005876F3">
              <w:rPr>
                <w:sz w:val="22"/>
                <w:szCs w:val="22"/>
              </w:rPr>
              <w:t>Tiesiskā regulējuma mērķis un būtība</w:t>
            </w:r>
          </w:p>
        </w:tc>
        <w:tc>
          <w:tcPr>
            <w:tcW w:w="6459" w:type="dxa"/>
          </w:tcPr>
          <w:p w:rsidR="005B1FCF" w:rsidRPr="005876F3" w:rsidRDefault="005B1FCF" w:rsidP="00EC2E44">
            <w:pPr>
              <w:pStyle w:val="naislab"/>
              <w:spacing w:before="0" w:after="0"/>
              <w:jc w:val="both"/>
              <w:rPr>
                <w:bCs/>
                <w:sz w:val="22"/>
                <w:szCs w:val="22"/>
              </w:rPr>
            </w:pPr>
            <w:r w:rsidRPr="005876F3">
              <w:rPr>
                <w:bCs/>
                <w:sz w:val="22"/>
                <w:szCs w:val="22"/>
              </w:rPr>
              <w:t>Likum</w:t>
            </w:r>
            <w:r w:rsidR="00AC5A05" w:rsidRPr="005876F3">
              <w:rPr>
                <w:bCs/>
                <w:sz w:val="22"/>
                <w:szCs w:val="22"/>
              </w:rPr>
              <w:t xml:space="preserve">projekts paredz </w:t>
            </w:r>
            <w:r w:rsidRPr="005876F3">
              <w:rPr>
                <w:bCs/>
                <w:sz w:val="22"/>
                <w:szCs w:val="22"/>
              </w:rPr>
              <w:t>veikt izmaiņas vairākos Elektroenerģijas tirgus likumā pantos, kā rezultātā visi elektroenerģijas lietotāji pirks elektroenerģiju brīvajā tirgū.</w:t>
            </w:r>
            <w:r w:rsidR="0024490A" w:rsidRPr="005876F3">
              <w:rPr>
                <w:bCs/>
                <w:sz w:val="22"/>
                <w:szCs w:val="22"/>
              </w:rPr>
              <w:t xml:space="preserve"> </w:t>
            </w:r>
            <w:r w:rsidRPr="005876F3">
              <w:rPr>
                <w:bCs/>
                <w:sz w:val="22"/>
                <w:szCs w:val="22"/>
              </w:rPr>
              <w:t>Izmaiņu rezultātā elektroenerģijas tirgū tiktu iesaistīti visi mājsaimniecības lietotāji</w:t>
            </w:r>
            <w:r w:rsidR="00E40E5F" w:rsidRPr="005876F3">
              <w:rPr>
                <w:bCs/>
                <w:sz w:val="22"/>
                <w:szCs w:val="22"/>
              </w:rPr>
              <w:t xml:space="preserve"> (</w:t>
            </w:r>
            <w:r w:rsidR="00260D74" w:rsidRPr="005876F3">
              <w:rPr>
                <w:bCs/>
                <w:sz w:val="22"/>
                <w:szCs w:val="22"/>
              </w:rPr>
              <w:t>ap 9</w:t>
            </w:r>
            <w:r w:rsidR="00E40E5F" w:rsidRPr="005876F3">
              <w:rPr>
                <w:bCs/>
                <w:sz w:val="22"/>
                <w:szCs w:val="22"/>
              </w:rPr>
              <w:t>00 000 lietotājiem),</w:t>
            </w:r>
            <w:r w:rsidRPr="005876F3">
              <w:rPr>
                <w:bCs/>
                <w:sz w:val="22"/>
                <w:szCs w:val="22"/>
              </w:rPr>
              <w:t xml:space="preserve"> </w:t>
            </w:r>
            <w:r w:rsidR="00E40E5F" w:rsidRPr="005876F3">
              <w:rPr>
                <w:bCs/>
                <w:sz w:val="22"/>
                <w:szCs w:val="22"/>
              </w:rPr>
              <w:t xml:space="preserve">kas </w:t>
            </w:r>
            <w:r w:rsidRPr="005876F3">
              <w:rPr>
                <w:bCs/>
                <w:sz w:val="22"/>
                <w:szCs w:val="22"/>
              </w:rPr>
              <w:t xml:space="preserve">patērē ap </w:t>
            </w:r>
            <w:r w:rsidR="00E40E5F" w:rsidRPr="005876F3">
              <w:rPr>
                <w:bCs/>
                <w:sz w:val="22"/>
                <w:szCs w:val="22"/>
              </w:rPr>
              <w:t>25</w:t>
            </w:r>
            <w:r w:rsidRPr="005876F3">
              <w:rPr>
                <w:bCs/>
                <w:sz w:val="22"/>
                <w:szCs w:val="22"/>
              </w:rPr>
              <w:t>% elektroenerģijas.</w:t>
            </w:r>
          </w:p>
          <w:p w:rsidR="0024490A" w:rsidRPr="005876F3" w:rsidRDefault="0024490A" w:rsidP="00F84CD4">
            <w:pPr>
              <w:pStyle w:val="naislab"/>
              <w:spacing w:before="0" w:after="0"/>
              <w:jc w:val="both"/>
              <w:rPr>
                <w:bCs/>
                <w:sz w:val="22"/>
                <w:szCs w:val="22"/>
              </w:rPr>
            </w:pPr>
          </w:p>
          <w:p w:rsidR="00E57D30" w:rsidRPr="005876F3" w:rsidRDefault="00E57D30" w:rsidP="00F84CD4">
            <w:pPr>
              <w:spacing w:after="0" w:line="240" w:lineRule="auto"/>
              <w:jc w:val="both"/>
              <w:rPr>
                <w:rFonts w:ascii="Times New Roman" w:hAnsi="Times New Roman"/>
              </w:rPr>
            </w:pPr>
            <w:r w:rsidRPr="005876F3">
              <w:rPr>
                <w:rFonts w:ascii="Times New Roman" w:hAnsi="Times New Roman"/>
              </w:rPr>
              <w:t>Elektroenerģijas tirgus atvēršana ieplānota uz 2013.gada 1.septembri. Plānota tirgus atvēršana paredz mājsaimniecības lietotāju ienākšanu tirgū, kuriem izvēloties elektroenerģijas tirgotāju līdz iepriekš noteiktajam datumam, pamatojoties uz MK 2011.gada 29.novembra noteikumiem Nr.914 „Elektroenerģijas tirdzniecības un lietošanas noteikumi”, līdz 2013.gada 1.septembrim arī jānoslēdz elektroenerģijas tirdzniecības līgums. Ņemot vērā  Ekonomikas ministrijas prognozējamo mājsaimniecības lietotāju aktivitāti elektroenerģijas tirgotāja izvēlē, Ekonomikas ministrija likumprojektā ietvērusi normu, kas nodrošinātu ar elektroenerģijas apgādi pēc 2013.gada 1.septembra arī tos lietotājus, kas nav noslēguši elektroenerģijas piegādes līgumu ne ar vienu elektroenerģijas tirgotāju.</w:t>
            </w:r>
          </w:p>
          <w:p w:rsidR="00E57D30" w:rsidRPr="005876F3" w:rsidRDefault="00E57D30" w:rsidP="00F84CD4">
            <w:pPr>
              <w:pStyle w:val="naislab"/>
              <w:spacing w:before="0" w:after="0"/>
              <w:jc w:val="both"/>
              <w:rPr>
                <w:bCs/>
                <w:sz w:val="22"/>
                <w:szCs w:val="22"/>
              </w:rPr>
            </w:pPr>
          </w:p>
          <w:p w:rsidR="00E57D30" w:rsidRPr="005876F3" w:rsidRDefault="00E57D30" w:rsidP="00F84CD4">
            <w:pPr>
              <w:pStyle w:val="naislab"/>
              <w:spacing w:before="0" w:after="0"/>
              <w:jc w:val="both"/>
              <w:rPr>
                <w:bCs/>
                <w:sz w:val="22"/>
                <w:szCs w:val="22"/>
              </w:rPr>
            </w:pPr>
            <w:r w:rsidRPr="005876F3">
              <w:rPr>
                <w:sz w:val="22"/>
                <w:szCs w:val="22"/>
              </w:rPr>
              <w:t>Likumprojekts paredz paziņošanas termiņa samazināšanu par elektroenerģijas tirgotāja, ar kuru lietotājs ir noslēdzis elektroenerģijas tirdzniecības līgumu, maiņu, kas ļaus paaugstināt elastību elektroenerģijas tirgū, ka arī pozitīvi ietekmēs gan lietotājus, gan tirgotājus.</w:t>
            </w:r>
          </w:p>
          <w:p w:rsidR="00E57D30" w:rsidRPr="005876F3" w:rsidRDefault="00E57D30" w:rsidP="00F84CD4">
            <w:pPr>
              <w:pStyle w:val="naislab"/>
              <w:spacing w:before="0" w:after="0"/>
              <w:jc w:val="both"/>
              <w:rPr>
                <w:bCs/>
                <w:sz w:val="22"/>
                <w:szCs w:val="22"/>
              </w:rPr>
            </w:pPr>
          </w:p>
          <w:p w:rsidR="006108F5" w:rsidRPr="005876F3" w:rsidRDefault="00E40E5F" w:rsidP="00F84CD4">
            <w:pPr>
              <w:pStyle w:val="naislab"/>
              <w:spacing w:before="0" w:after="0"/>
              <w:jc w:val="both"/>
              <w:rPr>
                <w:bCs/>
                <w:sz w:val="22"/>
                <w:szCs w:val="22"/>
              </w:rPr>
            </w:pPr>
            <w:r w:rsidRPr="005876F3">
              <w:rPr>
                <w:bCs/>
                <w:sz w:val="22"/>
                <w:szCs w:val="22"/>
              </w:rPr>
              <w:t xml:space="preserve">Likumprojekts vienlaikus nosaka jaunu </w:t>
            </w:r>
            <w:r w:rsidR="00AC5A05" w:rsidRPr="005876F3">
              <w:rPr>
                <w:bCs/>
                <w:sz w:val="22"/>
                <w:szCs w:val="22"/>
              </w:rPr>
              <w:t xml:space="preserve">universāla pakalpojuma </w:t>
            </w:r>
            <w:r w:rsidRPr="005876F3">
              <w:rPr>
                <w:bCs/>
                <w:sz w:val="22"/>
                <w:szCs w:val="22"/>
              </w:rPr>
              <w:t>piedāvājuma nosacījumu noteikšanu Ministru kabinetā. Jaunais universālais pakalpojums  likumprojektā ir noteikts kā obligāts tirgotāju tirdzniecības pakalpojuma piedāvājums</w:t>
            </w:r>
            <w:r w:rsidR="00C6380E" w:rsidRPr="005876F3">
              <w:rPr>
                <w:bCs/>
                <w:sz w:val="22"/>
                <w:szCs w:val="22"/>
              </w:rPr>
              <w:t xml:space="preserve"> gadījumos</w:t>
            </w:r>
            <w:r w:rsidRPr="005876F3">
              <w:rPr>
                <w:bCs/>
                <w:sz w:val="22"/>
                <w:szCs w:val="22"/>
              </w:rPr>
              <w:t>, ja tirgotājs</w:t>
            </w:r>
            <w:r w:rsidR="00C6380E" w:rsidRPr="005876F3">
              <w:rPr>
                <w:bCs/>
                <w:sz w:val="22"/>
                <w:szCs w:val="22"/>
              </w:rPr>
              <w:t xml:space="preserve"> piedāvā elektroenerģijas tirdzniecības pakalpojumus</w:t>
            </w:r>
            <w:r w:rsidRPr="005876F3">
              <w:rPr>
                <w:bCs/>
                <w:sz w:val="22"/>
                <w:szCs w:val="22"/>
              </w:rPr>
              <w:t xml:space="preserve"> mājsaimniecības lietotājiem.</w:t>
            </w:r>
          </w:p>
          <w:p w:rsidR="0024490A" w:rsidRPr="005876F3" w:rsidRDefault="0024490A" w:rsidP="00F84CD4">
            <w:pPr>
              <w:pStyle w:val="naislab"/>
              <w:spacing w:before="0" w:after="0"/>
              <w:jc w:val="both"/>
              <w:rPr>
                <w:bCs/>
                <w:sz w:val="22"/>
                <w:szCs w:val="22"/>
              </w:rPr>
            </w:pPr>
          </w:p>
          <w:p w:rsidR="0024490A" w:rsidRPr="005876F3" w:rsidRDefault="0024490A" w:rsidP="00EC2E44">
            <w:pPr>
              <w:pStyle w:val="naislab"/>
              <w:spacing w:after="0"/>
              <w:jc w:val="both"/>
              <w:rPr>
                <w:bCs/>
                <w:sz w:val="22"/>
                <w:szCs w:val="22"/>
              </w:rPr>
            </w:pPr>
            <w:r w:rsidRPr="005876F3">
              <w:rPr>
                <w:bCs/>
                <w:sz w:val="22"/>
                <w:szCs w:val="22"/>
              </w:rPr>
              <w:t>Papildus iepriekšminētajam likumprojekt</w:t>
            </w:r>
            <w:r w:rsidR="008B634A">
              <w:rPr>
                <w:bCs/>
                <w:sz w:val="22"/>
                <w:szCs w:val="22"/>
              </w:rPr>
              <w:t>s</w:t>
            </w:r>
            <w:r w:rsidRPr="005876F3">
              <w:rPr>
                <w:bCs/>
                <w:sz w:val="22"/>
                <w:szCs w:val="22"/>
              </w:rPr>
              <w:t xml:space="preserve"> </w:t>
            </w:r>
            <w:r w:rsidR="008B634A">
              <w:rPr>
                <w:bCs/>
                <w:sz w:val="22"/>
                <w:szCs w:val="22"/>
              </w:rPr>
              <w:t>nosaka</w:t>
            </w:r>
            <w:r w:rsidR="008B634A" w:rsidRPr="005876F3">
              <w:rPr>
                <w:bCs/>
                <w:sz w:val="22"/>
                <w:szCs w:val="22"/>
              </w:rPr>
              <w:t xml:space="preserve"> sistēmas operatoru, elektroenerģijas sistēmas īpašnieka, elektroenerģijas ražotāja, elektroenerģijas tirgotāja un tirgus dalībnieka atbildību par noteiktu Elektroenerģijas tirgus likuma un REMIT prasību neievērošanu</w:t>
            </w:r>
            <w:r w:rsidR="008B634A">
              <w:rPr>
                <w:bCs/>
                <w:sz w:val="22"/>
                <w:szCs w:val="22"/>
              </w:rPr>
              <w:t xml:space="preserve">, paredzot </w:t>
            </w:r>
            <w:r w:rsidRPr="005876F3">
              <w:rPr>
                <w:bCs/>
                <w:sz w:val="22"/>
                <w:szCs w:val="22"/>
              </w:rPr>
              <w:t>iedarbīgas, samērīgas un atturošas sankcijas</w:t>
            </w:r>
            <w:r w:rsidR="00B6445F">
              <w:rPr>
                <w:bCs/>
                <w:sz w:val="22"/>
                <w:szCs w:val="22"/>
              </w:rPr>
              <w:t>.</w:t>
            </w:r>
            <w:r w:rsidRPr="005876F3">
              <w:rPr>
                <w:bCs/>
                <w:sz w:val="22"/>
                <w:szCs w:val="22"/>
              </w:rPr>
              <w:t xml:space="preserve"> </w:t>
            </w:r>
            <w:r w:rsidR="00B6445F" w:rsidRPr="005876F3">
              <w:rPr>
                <w:bCs/>
                <w:sz w:val="22"/>
                <w:szCs w:val="22"/>
              </w:rPr>
              <w:t xml:space="preserve">Konstatējot šādus pārkāpumus, regulators būs tiesīgs uzlikt pienākumu nodrošināt attiecīgo prasību ievērošanu, izteikt komersantam brīdinājumu </w:t>
            </w:r>
            <w:r w:rsidR="00B6445F">
              <w:rPr>
                <w:bCs/>
                <w:sz w:val="22"/>
                <w:szCs w:val="22"/>
              </w:rPr>
              <w:t>vai</w:t>
            </w:r>
            <w:r w:rsidR="00B6445F" w:rsidRPr="005876F3">
              <w:rPr>
                <w:bCs/>
                <w:sz w:val="22"/>
                <w:szCs w:val="22"/>
              </w:rPr>
              <w:t xml:space="preserve"> uzlikt soda naudu līdz 10 % apmērā no attiecīgā elektroapgādes komersanta iepriekšējā finanšu gada neto apgrozījuma, katrā gadījumā izvērtējot, vai attiecīgais ietekmēšanas līdzeklis būs iedarbīgs, samērīgs un atturošs</w:t>
            </w:r>
            <w:r w:rsidR="00B20B97">
              <w:rPr>
                <w:bCs/>
                <w:sz w:val="22"/>
                <w:szCs w:val="22"/>
              </w:rPr>
              <w:t>.</w:t>
            </w:r>
          </w:p>
          <w:p w:rsidR="0051445C" w:rsidRDefault="0051445C" w:rsidP="0051445C">
            <w:pPr>
              <w:pStyle w:val="naiskr"/>
              <w:spacing w:before="0" w:after="0"/>
              <w:ind w:hanging="5"/>
              <w:jc w:val="both"/>
              <w:rPr>
                <w:sz w:val="22"/>
                <w:szCs w:val="22"/>
              </w:rPr>
            </w:pPr>
          </w:p>
          <w:p w:rsidR="00743E90" w:rsidRDefault="0051445C" w:rsidP="0051445C">
            <w:pPr>
              <w:pStyle w:val="naiskr"/>
              <w:spacing w:before="0" w:after="0"/>
              <w:ind w:hanging="5"/>
              <w:jc w:val="both"/>
              <w:rPr>
                <w:bCs/>
                <w:sz w:val="22"/>
                <w:szCs w:val="22"/>
              </w:rPr>
            </w:pPr>
            <w:r w:rsidRPr="00B20B97">
              <w:rPr>
                <w:sz w:val="22"/>
                <w:szCs w:val="22"/>
              </w:rPr>
              <w:t xml:space="preserve">Šo grozījumu mērķis ir </w:t>
            </w:r>
            <w:r w:rsidR="008B634A" w:rsidRPr="00B20B97">
              <w:rPr>
                <w:sz w:val="22"/>
                <w:szCs w:val="22"/>
              </w:rPr>
              <w:t xml:space="preserve">radīt tādu regulējumu, kas atturētu </w:t>
            </w:r>
            <w:r w:rsidR="008B634A" w:rsidRPr="005876F3">
              <w:rPr>
                <w:bCs/>
                <w:sz w:val="22"/>
                <w:szCs w:val="22"/>
              </w:rPr>
              <w:t>sistēmas operatoru, elektroenerģijas sistēmas īpašniek</w:t>
            </w:r>
            <w:r w:rsidR="008B634A">
              <w:rPr>
                <w:bCs/>
                <w:sz w:val="22"/>
                <w:szCs w:val="22"/>
              </w:rPr>
              <w:t>u</w:t>
            </w:r>
            <w:r w:rsidR="008B634A" w:rsidRPr="005876F3">
              <w:rPr>
                <w:bCs/>
                <w:sz w:val="22"/>
                <w:szCs w:val="22"/>
              </w:rPr>
              <w:t>, elektroenerģijas ražotāj</w:t>
            </w:r>
            <w:r w:rsidR="008B634A">
              <w:rPr>
                <w:bCs/>
                <w:sz w:val="22"/>
                <w:szCs w:val="22"/>
              </w:rPr>
              <w:t>u</w:t>
            </w:r>
            <w:r w:rsidR="008B634A" w:rsidRPr="005876F3">
              <w:rPr>
                <w:bCs/>
                <w:sz w:val="22"/>
                <w:szCs w:val="22"/>
              </w:rPr>
              <w:t>, elektroenerģijas tirgotāj</w:t>
            </w:r>
            <w:r w:rsidR="008B634A">
              <w:rPr>
                <w:bCs/>
                <w:sz w:val="22"/>
                <w:szCs w:val="22"/>
              </w:rPr>
              <w:t>u</w:t>
            </w:r>
            <w:r w:rsidR="008B634A" w:rsidRPr="005876F3">
              <w:rPr>
                <w:bCs/>
                <w:sz w:val="22"/>
                <w:szCs w:val="22"/>
              </w:rPr>
              <w:t xml:space="preserve"> un tirgus dalībniek</w:t>
            </w:r>
            <w:r w:rsidR="008B634A">
              <w:rPr>
                <w:bCs/>
                <w:sz w:val="22"/>
                <w:szCs w:val="22"/>
              </w:rPr>
              <w:t xml:space="preserve">u no </w:t>
            </w:r>
            <w:r w:rsidR="008B634A" w:rsidRPr="005876F3">
              <w:rPr>
                <w:bCs/>
                <w:sz w:val="22"/>
                <w:szCs w:val="22"/>
              </w:rPr>
              <w:t>Elektroenerģijas tirgus likum</w:t>
            </w:r>
            <w:r w:rsidR="008B634A">
              <w:rPr>
                <w:bCs/>
                <w:sz w:val="22"/>
                <w:szCs w:val="22"/>
              </w:rPr>
              <w:t>ā</w:t>
            </w:r>
            <w:r w:rsidR="008B634A" w:rsidRPr="005876F3">
              <w:rPr>
                <w:bCs/>
                <w:sz w:val="22"/>
                <w:szCs w:val="22"/>
              </w:rPr>
              <w:t xml:space="preserve"> un REMIT </w:t>
            </w:r>
            <w:r w:rsidR="008B634A">
              <w:rPr>
                <w:bCs/>
                <w:sz w:val="22"/>
                <w:szCs w:val="22"/>
              </w:rPr>
              <w:t xml:space="preserve">noteikto </w:t>
            </w:r>
            <w:r w:rsidR="008B634A" w:rsidRPr="005876F3">
              <w:rPr>
                <w:bCs/>
                <w:sz w:val="22"/>
                <w:szCs w:val="22"/>
              </w:rPr>
              <w:t>prasību</w:t>
            </w:r>
            <w:r w:rsidR="008B634A">
              <w:rPr>
                <w:bCs/>
                <w:sz w:val="22"/>
                <w:szCs w:val="22"/>
              </w:rPr>
              <w:t xml:space="preserve"> neizpildes</w:t>
            </w:r>
            <w:r w:rsidR="00C14CEB">
              <w:rPr>
                <w:bCs/>
                <w:sz w:val="22"/>
                <w:szCs w:val="22"/>
              </w:rPr>
              <w:t>, un būtu samērīgs ar ieguvumu, kādu</w:t>
            </w:r>
            <w:r w:rsidR="008B634A">
              <w:rPr>
                <w:bCs/>
                <w:sz w:val="22"/>
                <w:szCs w:val="22"/>
              </w:rPr>
              <w:t xml:space="preserve"> </w:t>
            </w:r>
            <w:r w:rsidR="00C14CEB" w:rsidRPr="005876F3">
              <w:rPr>
                <w:bCs/>
                <w:sz w:val="22"/>
                <w:szCs w:val="22"/>
              </w:rPr>
              <w:t>sistēmas operator</w:t>
            </w:r>
            <w:r w:rsidR="00C14CEB">
              <w:rPr>
                <w:bCs/>
                <w:sz w:val="22"/>
                <w:szCs w:val="22"/>
              </w:rPr>
              <w:t>s</w:t>
            </w:r>
            <w:r w:rsidR="00C14CEB" w:rsidRPr="005876F3">
              <w:rPr>
                <w:bCs/>
                <w:sz w:val="22"/>
                <w:szCs w:val="22"/>
              </w:rPr>
              <w:t>, elektroenerģijas sistēmas īpašniek</w:t>
            </w:r>
            <w:r w:rsidR="00C14CEB">
              <w:rPr>
                <w:bCs/>
                <w:sz w:val="22"/>
                <w:szCs w:val="22"/>
              </w:rPr>
              <w:t>s</w:t>
            </w:r>
            <w:r w:rsidR="00C14CEB" w:rsidRPr="005876F3">
              <w:rPr>
                <w:bCs/>
                <w:sz w:val="22"/>
                <w:szCs w:val="22"/>
              </w:rPr>
              <w:t>, elektroenerģijas ražotāj</w:t>
            </w:r>
            <w:r w:rsidR="00C14CEB">
              <w:rPr>
                <w:bCs/>
                <w:sz w:val="22"/>
                <w:szCs w:val="22"/>
              </w:rPr>
              <w:t>s</w:t>
            </w:r>
            <w:r w:rsidR="00C14CEB" w:rsidRPr="005876F3">
              <w:rPr>
                <w:bCs/>
                <w:sz w:val="22"/>
                <w:szCs w:val="22"/>
              </w:rPr>
              <w:t>, elektroenerģijas tirgotāj</w:t>
            </w:r>
            <w:r w:rsidR="00C14CEB">
              <w:rPr>
                <w:bCs/>
                <w:sz w:val="22"/>
                <w:szCs w:val="22"/>
              </w:rPr>
              <w:t>s</w:t>
            </w:r>
            <w:r w:rsidR="00C14CEB" w:rsidRPr="005876F3">
              <w:rPr>
                <w:bCs/>
                <w:sz w:val="22"/>
                <w:szCs w:val="22"/>
              </w:rPr>
              <w:t xml:space="preserve"> </w:t>
            </w:r>
            <w:r w:rsidR="00C14CEB">
              <w:rPr>
                <w:bCs/>
                <w:sz w:val="22"/>
                <w:szCs w:val="22"/>
              </w:rPr>
              <w:t>vai</w:t>
            </w:r>
            <w:r w:rsidR="00C14CEB" w:rsidRPr="005876F3">
              <w:rPr>
                <w:bCs/>
                <w:sz w:val="22"/>
                <w:szCs w:val="22"/>
              </w:rPr>
              <w:t xml:space="preserve"> tirgus dalībniek</w:t>
            </w:r>
            <w:r w:rsidR="00C14CEB">
              <w:rPr>
                <w:bCs/>
                <w:sz w:val="22"/>
                <w:szCs w:val="22"/>
              </w:rPr>
              <w:t>s varētu gūt</w:t>
            </w:r>
            <w:r w:rsidR="00743E90">
              <w:rPr>
                <w:bCs/>
                <w:sz w:val="22"/>
                <w:szCs w:val="22"/>
              </w:rPr>
              <w:t xml:space="preserve"> vai ir ieguvis</w:t>
            </w:r>
            <w:r w:rsidR="00C14CEB">
              <w:rPr>
                <w:bCs/>
                <w:sz w:val="22"/>
                <w:szCs w:val="22"/>
              </w:rPr>
              <w:t xml:space="preserve">, pārkāpjot minētās prasības. </w:t>
            </w:r>
            <w:r w:rsidR="002978B7">
              <w:rPr>
                <w:bCs/>
                <w:sz w:val="22"/>
                <w:szCs w:val="22"/>
              </w:rPr>
              <w:t xml:space="preserve">Tāpēc </w:t>
            </w:r>
            <w:r w:rsidR="00F9315B">
              <w:rPr>
                <w:bCs/>
                <w:sz w:val="22"/>
                <w:szCs w:val="22"/>
              </w:rPr>
              <w:t xml:space="preserve">ir paredzēts </w:t>
            </w:r>
            <w:r w:rsidR="002978B7">
              <w:rPr>
                <w:bCs/>
                <w:sz w:val="22"/>
                <w:szCs w:val="22"/>
              </w:rPr>
              <w:t>soda naudu noteikt procentuāli no komersanta finanšu gada neto apgroz</w:t>
            </w:r>
            <w:r w:rsidR="00743E90">
              <w:rPr>
                <w:bCs/>
                <w:sz w:val="22"/>
                <w:szCs w:val="22"/>
              </w:rPr>
              <w:t>ījuma.</w:t>
            </w:r>
          </w:p>
          <w:p w:rsidR="00743E90" w:rsidRDefault="00743E90" w:rsidP="0051445C">
            <w:pPr>
              <w:pStyle w:val="naiskr"/>
              <w:spacing w:before="0" w:after="0"/>
              <w:ind w:hanging="5"/>
              <w:jc w:val="both"/>
              <w:rPr>
                <w:bCs/>
                <w:sz w:val="22"/>
                <w:szCs w:val="22"/>
              </w:rPr>
            </w:pPr>
          </w:p>
          <w:p w:rsidR="002978B7" w:rsidRDefault="00C14CEB" w:rsidP="0051445C">
            <w:pPr>
              <w:pStyle w:val="naiskr"/>
              <w:spacing w:before="0" w:after="0"/>
              <w:ind w:hanging="5"/>
              <w:jc w:val="both"/>
              <w:rPr>
                <w:bCs/>
                <w:sz w:val="22"/>
                <w:szCs w:val="22"/>
              </w:rPr>
            </w:pPr>
            <w:r>
              <w:rPr>
                <w:bCs/>
                <w:sz w:val="22"/>
                <w:szCs w:val="22"/>
              </w:rPr>
              <w:t xml:space="preserve">Ņemot vērā to, ka saskaņā ar Administratīvā procesa likuma 13.pantu un 67.panta otrās daļas 6.punktu, iestādei, izdodot administratīvo aktu, </w:t>
            </w:r>
            <w:proofErr w:type="spellStart"/>
            <w:r>
              <w:rPr>
                <w:bCs/>
                <w:sz w:val="22"/>
                <w:szCs w:val="22"/>
              </w:rPr>
              <w:t>citstarp</w:t>
            </w:r>
            <w:proofErr w:type="spellEnd"/>
            <w:r>
              <w:rPr>
                <w:bCs/>
                <w:sz w:val="22"/>
                <w:szCs w:val="22"/>
              </w:rPr>
              <w:t xml:space="preserve">, ir jāievēro samērīguma princips un jāapsver administratīvā akta izdošanas </w:t>
            </w:r>
            <w:r>
              <w:rPr>
                <w:bCs/>
                <w:sz w:val="22"/>
                <w:szCs w:val="22"/>
              </w:rPr>
              <w:lastRenderedPageBreak/>
              <w:t xml:space="preserve">lietderība, </w:t>
            </w:r>
            <w:r w:rsidR="002978B7">
              <w:rPr>
                <w:bCs/>
                <w:sz w:val="22"/>
                <w:szCs w:val="22"/>
              </w:rPr>
              <w:t xml:space="preserve">regulatoram jebkurā gadījumā būs jāsamēro ietekmēšanas līdzeklis ar izdarīto pārkāpumu. </w:t>
            </w:r>
            <w:r w:rsidR="00743E90">
              <w:rPr>
                <w:bCs/>
                <w:sz w:val="22"/>
                <w:szCs w:val="22"/>
              </w:rPr>
              <w:t>Turklāt likumprojekts paredz, ka regulators izdos soda naudas apmēra noteikšanas kārtību, līdz ar to, soda naudas apmērs būs diferencēts atkarībā no pārkāpuma smaguma.</w:t>
            </w:r>
          </w:p>
          <w:p w:rsidR="002978B7" w:rsidRDefault="002978B7" w:rsidP="0051445C">
            <w:pPr>
              <w:pStyle w:val="naiskr"/>
              <w:spacing w:before="0" w:after="0"/>
              <w:ind w:hanging="5"/>
              <w:jc w:val="both"/>
              <w:rPr>
                <w:bCs/>
                <w:sz w:val="22"/>
                <w:szCs w:val="22"/>
              </w:rPr>
            </w:pPr>
          </w:p>
          <w:p w:rsidR="008C6875" w:rsidRPr="000B1697" w:rsidRDefault="0051445C" w:rsidP="000B1697">
            <w:pPr>
              <w:pStyle w:val="naiskr"/>
              <w:spacing w:before="0" w:after="0"/>
              <w:ind w:hanging="5"/>
              <w:jc w:val="both"/>
              <w:rPr>
                <w:sz w:val="22"/>
                <w:szCs w:val="22"/>
              </w:rPr>
            </w:pPr>
            <w:r w:rsidRPr="00B20B97">
              <w:rPr>
                <w:sz w:val="22"/>
                <w:szCs w:val="22"/>
              </w:rPr>
              <w:t>Elektroenerģijas tirgus likuma X</w:t>
            </w:r>
            <w:r w:rsidR="007F15EB">
              <w:rPr>
                <w:sz w:val="22"/>
                <w:szCs w:val="22"/>
              </w:rPr>
              <w:t xml:space="preserve"> </w:t>
            </w:r>
            <w:r w:rsidRPr="00B20B97">
              <w:rPr>
                <w:sz w:val="22"/>
                <w:szCs w:val="22"/>
              </w:rPr>
              <w:t xml:space="preserve">nodaļa detalizēti </w:t>
            </w:r>
            <w:r w:rsidR="00743E90" w:rsidRPr="00B20B97">
              <w:rPr>
                <w:sz w:val="22"/>
                <w:szCs w:val="22"/>
              </w:rPr>
              <w:t>paredz</w:t>
            </w:r>
            <w:r w:rsidRPr="00B20B97">
              <w:rPr>
                <w:sz w:val="22"/>
                <w:szCs w:val="22"/>
              </w:rPr>
              <w:t xml:space="preserve">, par kādu prasību neievērošanu regulators attiecīgajam komersantam varēs piemērot ietekmēšanas līdzekļus (pienākums nodrošināt attiecīgu prasību ievērošanu, brīdinājums, soda nauda). </w:t>
            </w:r>
            <w:r w:rsidR="00EC0745" w:rsidRPr="00B20B97">
              <w:rPr>
                <w:sz w:val="22"/>
                <w:szCs w:val="22"/>
              </w:rPr>
              <w:t>Ņemot vērā tiesību normu piemērošanas principus un judikatūru, Elektroenerģijas tirgus likum</w:t>
            </w:r>
            <w:r w:rsidR="00B6445F" w:rsidRPr="00B20B97">
              <w:rPr>
                <w:sz w:val="22"/>
                <w:szCs w:val="22"/>
              </w:rPr>
              <w:t>a X</w:t>
            </w:r>
            <w:r w:rsidR="007F15EB">
              <w:rPr>
                <w:sz w:val="22"/>
                <w:szCs w:val="22"/>
              </w:rPr>
              <w:t xml:space="preserve"> </w:t>
            </w:r>
            <w:r w:rsidR="00B6445F" w:rsidRPr="00B20B97">
              <w:rPr>
                <w:sz w:val="22"/>
                <w:szCs w:val="22"/>
              </w:rPr>
              <w:t xml:space="preserve">nodaļā </w:t>
            </w:r>
            <w:r w:rsidR="00EC0745" w:rsidRPr="00B20B97">
              <w:rPr>
                <w:sz w:val="22"/>
                <w:szCs w:val="22"/>
              </w:rPr>
              <w:t xml:space="preserve">ietvertās tiesību normas attiecībā pret </w:t>
            </w:r>
            <w:r w:rsidR="00C41351" w:rsidRPr="00B20B97">
              <w:rPr>
                <w:sz w:val="22"/>
                <w:szCs w:val="22"/>
              </w:rPr>
              <w:t>L</w:t>
            </w:r>
            <w:r w:rsidR="00EC0745" w:rsidRPr="00B20B97">
              <w:rPr>
                <w:sz w:val="22"/>
                <w:szCs w:val="22"/>
              </w:rPr>
              <w:t>APK ietvertajām normām būs speciālās tiesību normas. Līdz ar to Elektroenerģijas tirgus likumā un REMIT noteikto prasību pārkāpumus regulators izvērtēs un ietekmēšanas līdzekļus piemēros saskaņā ar Elektroenerģijas tirgus likuma X</w:t>
            </w:r>
            <w:r w:rsidR="007F15EB">
              <w:rPr>
                <w:sz w:val="22"/>
                <w:szCs w:val="22"/>
              </w:rPr>
              <w:t xml:space="preserve"> </w:t>
            </w:r>
            <w:r w:rsidR="00EC0745" w:rsidRPr="00B20B97">
              <w:rPr>
                <w:sz w:val="22"/>
                <w:szCs w:val="22"/>
              </w:rPr>
              <w:t xml:space="preserve">nodaļu un Administratīvā procesa likumu. </w:t>
            </w:r>
            <w:r w:rsidR="008C6875">
              <w:rPr>
                <w:sz w:val="22"/>
                <w:szCs w:val="22"/>
              </w:rPr>
              <w:t>Tiesiskās skaidrības nodrošināšanai, likumprojekta 16.pantā paredzētajā</w:t>
            </w:r>
            <w:r w:rsidR="000B1697">
              <w:rPr>
                <w:sz w:val="22"/>
                <w:szCs w:val="22"/>
              </w:rPr>
              <w:t xml:space="preserve"> </w:t>
            </w:r>
            <w:r w:rsidR="008C6875" w:rsidRPr="00B20B97">
              <w:rPr>
                <w:sz w:val="22"/>
                <w:szCs w:val="22"/>
              </w:rPr>
              <w:t>Elektroenerģijas tirgus likuma</w:t>
            </w:r>
            <w:r w:rsidR="008C6875">
              <w:rPr>
                <w:sz w:val="22"/>
                <w:szCs w:val="22"/>
              </w:rPr>
              <w:t xml:space="preserve"> 47.pantā ir ietverta tiesību norma, saskaņā ar kuru a</w:t>
            </w:r>
            <w:r w:rsidR="008C6875" w:rsidRPr="000B1697">
              <w:rPr>
                <w:sz w:val="22"/>
                <w:szCs w:val="22"/>
              </w:rPr>
              <w:t xml:space="preserve">ttiecībā uz </w:t>
            </w:r>
            <w:r w:rsidR="008C6875" w:rsidRPr="00B20B97">
              <w:rPr>
                <w:sz w:val="22"/>
                <w:szCs w:val="22"/>
              </w:rPr>
              <w:t>Elektroenerģijas tirgus likuma</w:t>
            </w:r>
            <w:r w:rsidR="008C6875" w:rsidRPr="000B1697">
              <w:rPr>
                <w:sz w:val="22"/>
                <w:szCs w:val="22"/>
              </w:rPr>
              <w:t xml:space="preserve"> 41.,  42., 43., 44., 45. un 46.pantā paredzētajiem pārkāpumiem neti</w:t>
            </w:r>
            <w:r w:rsidR="008C6875">
              <w:rPr>
                <w:sz w:val="22"/>
                <w:szCs w:val="22"/>
              </w:rPr>
              <w:t>ks</w:t>
            </w:r>
            <w:r w:rsidR="008C6875" w:rsidRPr="000B1697">
              <w:rPr>
                <w:sz w:val="22"/>
                <w:szCs w:val="22"/>
              </w:rPr>
              <w:t xml:space="preserve"> piemērots </w:t>
            </w:r>
            <w:r w:rsidR="007F15EB">
              <w:rPr>
                <w:sz w:val="22"/>
                <w:szCs w:val="22"/>
              </w:rPr>
              <w:t>LAPK</w:t>
            </w:r>
            <w:r w:rsidR="008C6875" w:rsidRPr="000B1697">
              <w:rPr>
                <w:sz w:val="22"/>
                <w:szCs w:val="22"/>
              </w:rPr>
              <w:t>.</w:t>
            </w:r>
          </w:p>
          <w:p w:rsidR="0024490A" w:rsidRDefault="0024490A" w:rsidP="000B1697">
            <w:pPr>
              <w:pStyle w:val="naiskr"/>
              <w:spacing w:before="0" w:after="0"/>
              <w:ind w:hanging="5"/>
              <w:jc w:val="both"/>
              <w:rPr>
                <w:bCs/>
                <w:sz w:val="22"/>
                <w:szCs w:val="22"/>
              </w:rPr>
            </w:pPr>
          </w:p>
          <w:p w:rsidR="0024490A" w:rsidRPr="005876F3" w:rsidRDefault="0024490A" w:rsidP="00F84CD4">
            <w:pPr>
              <w:pStyle w:val="naislab"/>
              <w:spacing w:after="0"/>
              <w:jc w:val="both"/>
              <w:rPr>
                <w:bCs/>
                <w:sz w:val="22"/>
                <w:szCs w:val="22"/>
              </w:rPr>
            </w:pPr>
            <w:r w:rsidRPr="005876F3">
              <w:rPr>
                <w:bCs/>
                <w:sz w:val="22"/>
                <w:szCs w:val="22"/>
              </w:rPr>
              <w:t>Saskaņā ar likuma „Par sabiedrisko pakalpojumu regulatoriem” 11.panta ceturto daļu  regulatora administratīvo aktu, kas izdots saskaņā ar minēto likumu, var pārsūdzēt Administratīvajā apgabaltiesā, kura lietu izskata kā pirmās instances tiesa triju tiesnešu sastāvā. Tiesas spriedumu var pārsūdzēt, iesniedzot kasācijas sūdzību. Līdz ar to arī regulatora administratīvajam aktam, kas izdots atbilstoši likumprojektam un ar kuru uzlikts pienākums nodrošināt noteiktu prasību ievērošanu, izteikts brīdinājums vai uzlikta soda nauda, ir nosakāma tāda pati pārsūdzības kārtība.</w:t>
            </w:r>
          </w:p>
          <w:p w:rsidR="0024490A" w:rsidRPr="005876F3" w:rsidRDefault="0024490A" w:rsidP="00F84CD4">
            <w:pPr>
              <w:pStyle w:val="naislab"/>
              <w:spacing w:before="0" w:after="0"/>
              <w:jc w:val="both"/>
              <w:rPr>
                <w:bCs/>
                <w:sz w:val="22"/>
                <w:szCs w:val="22"/>
              </w:rPr>
            </w:pPr>
          </w:p>
          <w:p w:rsidR="0024490A" w:rsidRDefault="0024490A" w:rsidP="00F84CD4">
            <w:pPr>
              <w:pStyle w:val="naislab"/>
              <w:spacing w:before="0" w:after="0"/>
              <w:jc w:val="both"/>
              <w:rPr>
                <w:bCs/>
                <w:sz w:val="22"/>
                <w:szCs w:val="22"/>
              </w:rPr>
            </w:pPr>
            <w:r w:rsidRPr="005876F3">
              <w:rPr>
                <w:bCs/>
                <w:sz w:val="22"/>
                <w:szCs w:val="22"/>
              </w:rPr>
              <w:t xml:space="preserve">Tāpat likumprojekts paredz papildināt Elektroenerģijas tirgus likumu ar normu, kurā ir noteikts tirgus dalībnieku un pārvades sistēmas operatora pienākums, veicot darbības elektroenerģijas </w:t>
            </w:r>
            <w:proofErr w:type="spellStart"/>
            <w:r w:rsidRPr="005876F3">
              <w:rPr>
                <w:bCs/>
                <w:sz w:val="22"/>
                <w:szCs w:val="22"/>
              </w:rPr>
              <w:t>vairumtirgū</w:t>
            </w:r>
            <w:proofErr w:type="spellEnd"/>
            <w:r w:rsidRPr="005876F3">
              <w:rPr>
                <w:bCs/>
                <w:sz w:val="22"/>
                <w:szCs w:val="22"/>
              </w:rPr>
              <w:t xml:space="preserve">, ievērot Eiropas parlamenta un Padomes regulas Nr.1227/2011 par enerģijas </w:t>
            </w:r>
            <w:proofErr w:type="spellStart"/>
            <w:r w:rsidRPr="005876F3">
              <w:rPr>
                <w:bCs/>
                <w:sz w:val="22"/>
                <w:szCs w:val="22"/>
              </w:rPr>
              <w:t>vairumtirgus</w:t>
            </w:r>
            <w:proofErr w:type="spellEnd"/>
            <w:r w:rsidRPr="005876F3">
              <w:rPr>
                <w:bCs/>
                <w:sz w:val="22"/>
                <w:szCs w:val="22"/>
              </w:rPr>
              <w:t xml:space="preserve"> integritāti un </w:t>
            </w:r>
            <w:proofErr w:type="spellStart"/>
            <w:r w:rsidRPr="005876F3">
              <w:rPr>
                <w:bCs/>
                <w:sz w:val="22"/>
                <w:szCs w:val="22"/>
              </w:rPr>
              <w:t>pārredzamību</w:t>
            </w:r>
            <w:proofErr w:type="spellEnd"/>
            <w:r w:rsidRPr="005876F3">
              <w:rPr>
                <w:bCs/>
                <w:sz w:val="22"/>
                <w:szCs w:val="22"/>
              </w:rPr>
              <w:t xml:space="preserve"> prasības.</w:t>
            </w:r>
          </w:p>
          <w:p w:rsidR="000B1697" w:rsidRPr="000B1697" w:rsidRDefault="000B1697" w:rsidP="00F84CD4">
            <w:pPr>
              <w:pStyle w:val="naislab"/>
              <w:spacing w:before="0" w:after="0"/>
              <w:jc w:val="both"/>
              <w:rPr>
                <w:bCs/>
                <w:sz w:val="22"/>
                <w:szCs w:val="22"/>
              </w:rPr>
            </w:pPr>
          </w:p>
          <w:p w:rsidR="00E57D30" w:rsidRPr="001B4FE6" w:rsidRDefault="00E57D30" w:rsidP="000B1697">
            <w:pPr>
              <w:pStyle w:val="NormalWeb"/>
              <w:spacing w:before="0" w:beforeAutospacing="0" w:after="0" w:afterAutospacing="0"/>
              <w:jc w:val="both"/>
              <w:rPr>
                <w:color w:val="FF0000"/>
              </w:rPr>
            </w:pPr>
            <w:r w:rsidRPr="000B1697">
              <w:rPr>
                <w:sz w:val="22"/>
                <w:szCs w:val="22"/>
              </w:rPr>
              <w:t xml:space="preserve">Likumprojekts arī nosaka, ka </w:t>
            </w:r>
            <w:r w:rsidR="001B4FE6" w:rsidRPr="000B1697">
              <w:rPr>
                <w:sz w:val="22"/>
                <w:szCs w:val="22"/>
              </w:rPr>
              <w:t xml:space="preserve">likuma 30.panta pirmajā daļa minētie </w:t>
            </w:r>
            <w:r w:rsidRPr="000B1697">
              <w:rPr>
                <w:sz w:val="22"/>
                <w:szCs w:val="22"/>
              </w:rPr>
              <w:t>ražotāji</w:t>
            </w:r>
            <w:r w:rsidR="001B4FE6" w:rsidRPr="000B1697">
              <w:rPr>
                <w:sz w:val="22"/>
                <w:szCs w:val="22"/>
              </w:rPr>
              <w:t xml:space="preserve"> </w:t>
            </w:r>
            <w:r w:rsidRPr="000B1697">
              <w:rPr>
                <w:sz w:val="22"/>
                <w:szCs w:val="22"/>
              </w:rPr>
              <w:t xml:space="preserve">ar 2013.gada 1.septembri zaudē tiesības pārdot elektroenerģiju publiskajam tirgotājam uz spēkā esošajiem nosacījumiem. </w:t>
            </w:r>
            <w:r w:rsidR="001B4FE6" w:rsidRPr="000B1697">
              <w:rPr>
                <w:sz w:val="22"/>
                <w:szCs w:val="22"/>
              </w:rPr>
              <w:t xml:space="preserve">Šobrīd ETL 30.panta pirmās daļas regulējumu izmanto 15 vēja elektrostacijas, kuras elektroenerģijas ražošanu uzsāka līdz 2002. gada 1. janvārim un kurām 8 gadus bija divkāršais elektroenerģijas vidējais tarifs, kura darbības termiņš beidzās līdz 2011. gada 1. janvārim. Pārējās elektrostacijas ir pārgājušas uz jauno </w:t>
            </w:r>
            <w:r w:rsidR="001B4FE6" w:rsidRPr="000B1697">
              <w:rPr>
                <w:sz w:val="22"/>
                <w:szCs w:val="22"/>
              </w:rPr>
              <w:t>Elektroenerģijas tirdzniecības likumā paredzēto</w:t>
            </w:r>
            <w:r w:rsidR="001B4FE6" w:rsidRPr="000B1697">
              <w:rPr>
                <w:sz w:val="22"/>
                <w:szCs w:val="22"/>
              </w:rPr>
              <w:t xml:space="preserve"> regulējumu.</w:t>
            </w:r>
            <w:r w:rsidR="001B4FE6" w:rsidRPr="000B1697">
              <w:rPr>
                <w:sz w:val="22"/>
                <w:szCs w:val="22"/>
              </w:rPr>
              <w:t xml:space="preserve"> Tiek uzskatīts, ka </w:t>
            </w:r>
            <w:r w:rsidR="001B4FE6" w:rsidRPr="000B1697">
              <w:rPr>
                <w:sz w:val="22"/>
                <w:szCs w:val="22"/>
              </w:rPr>
              <w:t>likuma 30.panta pirmajā daļa minētie ražotāji ir atgu</w:t>
            </w:r>
            <w:r w:rsidR="001B4FE6" w:rsidRPr="000B1697">
              <w:rPr>
                <w:sz w:val="22"/>
                <w:szCs w:val="22"/>
              </w:rPr>
              <w:t xml:space="preserve">vuši ieguldītās investīcijas. </w:t>
            </w:r>
            <w:r w:rsidR="001B4FE6" w:rsidRPr="000B1697">
              <w:rPr>
                <w:sz w:val="22"/>
                <w:szCs w:val="22"/>
              </w:rPr>
              <w:t>Tomēr vienlaikus likumprojektā ir ietverta norma, ka minētie ražotāji 10 gadus no 2013.gada 1.septembra pārdod elektroenerģiju publiskajam tirgotājam par  0,0796 Ls/kWh, kas Ekonomikas ministrijas izpratnē atbilst tiesiskās paļāvības principam</w:t>
            </w:r>
            <w:r w:rsidR="001B4FE6" w:rsidRPr="000B1697">
              <w:rPr>
                <w:sz w:val="22"/>
                <w:szCs w:val="22"/>
              </w:rPr>
              <w:t xml:space="preserve">, jo </w:t>
            </w:r>
            <w:r w:rsidR="001B4FE6" w:rsidRPr="000B1697">
              <w:rPr>
                <w:sz w:val="22"/>
                <w:szCs w:val="22"/>
              </w:rPr>
              <w:t xml:space="preserve">no </w:t>
            </w:r>
            <w:r w:rsidR="001B4FE6" w:rsidRPr="000B1697">
              <w:rPr>
                <w:sz w:val="22"/>
                <w:szCs w:val="22"/>
              </w:rPr>
              <w:t>Elektroenerģijas tirgus likumā paredzēto grozījumu</w:t>
            </w:r>
            <w:r w:rsidR="001B4FE6" w:rsidRPr="000B1697">
              <w:rPr>
                <w:sz w:val="22"/>
                <w:szCs w:val="22"/>
              </w:rPr>
              <w:t xml:space="preserve"> spēkā stāšanās brīža</w:t>
            </w:r>
            <w:r w:rsidR="001B4FE6" w:rsidRPr="000B1697">
              <w:rPr>
                <w:sz w:val="22"/>
                <w:szCs w:val="22"/>
              </w:rPr>
              <w:t xml:space="preserve"> iepriekšminētiem lietotājiem</w:t>
            </w:r>
            <w:r w:rsidR="001B4FE6" w:rsidRPr="000B1697">
              <w:rPr>
                <w:sz w:val="22"/>
                <w:szCs w:val="22"/>
              </w:rPr>
              <w:t xml:space="preserve"> 10 gadus būs garantēta augsta iepirkuma cena</w:t>
            </w:r>
            <w:r w:rsidR="001B4FE6" w:rsidRPr="000B1697">
              <w:rPr>
                <w:sz w:val="22"/>
                <w:szCs w:val="22"/>
              </w:rPr>
              <w:t>, kas uz doto brīdi</w:t>
            </w:r>
            <w:r w:rsidR="001B4FE6" w:rsidRPr="000B1697">
              <w:rPr>
                <w:sz w:val="22"/>
                <w:szCs w:val="22"/>
              </w:rPr>
              <w:t xml:space="preserve"> vairāk nekā 2 reizes augstāka par elektroenerģijas tirgus cenu.</w:t>
            </w:r>
            <w:r w:rsidR="001B4FE6" w:rsidRPr="000B1697">
              <w:rPr>
                <w:sz w:val="22"/>
                <w:szCs w:val="22"/>
              </w:rPr>
              <w:t xml:space="preserve"> </w:t>
            </w:r>
            <w:r w:rsidR="001B4FE6" w:rsidRPr="000B1697">
              <w:rPr>
                <w:sz w:val="22"/>
                <w:szCs w:val="22"/>
              </w:rPr>
              <w:t>Turklāt,</w:t>
            </w:r>
            <w:r w:rsidR="001B4FE6" w:rsidRPr="000B1697">
              <w:rPr>
                <w:sz w:val="22"/>
                <w:szCs w:val="22"/>
              </w:rPr>
              <w:t xml:space="preserve"> ražotājiem</w:t>
            </w:r>
            <w:r w:rsidR="001B4FE6" w:rsidRPr="000B1697">
              <w:rPr>
                <w:sz w:val="22"/>
                <w:szCs w:val="22"/>
              </w:rPr>
              <w:t xml:space="preserve"> joprojām ir iespēja pāriet uz </w:t>
            </w:r>
            <w:r w:rsidR="001B4FE6" w:rsidRPr="000B1697">
              <w:rPr>
                <w:sz w:val="22"/>
                <w:szCs w:val="22"/>
              </w:rPr>
              <w:t>pašreiz spēkā esošu Elektroenerģijas tirgus likumā ietverto regulējumu</w:t>
            </w:r>
            <w:r w:rsidR="001B4FE6" w:rsidRPr="000B1697">
              <w:rPr>
                <w:sz w:val="22"/>
                <w:szCs w:val="22"/>
              </w:rPr>
              <w:t>.</w:t>
            </w:r>
          </w:p>
        </w:tc>
      </w:tr>
      <w:tr w:rsidR="00CE44D6" w:rsidRPr="005876F3" w:rsidTr="00845D04">
        <w:trPr>
          <w:trHeight w:val="476"/>
        </w:trPr>
        <w:tc>
          <w:tcPr>
            <w:tcW w:w="550" w:type="dxa"/>
          </w:tcPr>
          <w:p w:rsidR="00CE44D6" w:rsidRPr="005876F3" w:rsidRDefault="00CE44D6" w:rsidP="00A0154D">
            <w:pPr>
              <w:pStyle w:val="naiskr"/>
              <w:spacing w:before="0" w:after="0"/>
              <w:rPr>
                <w:sz w:val="22"/>
                <w:szCs w:val="22"/>
              </w:rPr>
            </w:pPr>
            <w:r w:rsidRPr="005876F3">
              <w:rPr>
                <w:sz w:val="22"/>
                <w:szCs w:val="22"/>
              </w:rPr>
              <w:lastRenderedPageBreak/>
              <w:t>5.</w:t>
            </w:r>
          </w:p>
        </w:tc>
        <w:tc>
          <w:tcPr>
            <w:tcW w:w="2716" w:type="dxa"/>
          </w:tcPr>
          <w:p w:rsidR="00CE44D6" w:rsidRPr="005876F3" w:rsidRDefault="00CE44D6" w:rsidP="00A0154D">
            <w:pPr>
              <w:pStyle w:val="naiskr"/>
              <w:spacing w:before="0" w:after="0"/>
              <w:rPr>
                <w:sz w:val="22"/>
                <w:szCs w:val="22"/>
              </w:rPr>
            </w:pPr>
            <w:r w:rsidRPr="005876F3">
              <w:rPr>
                <w:sz w:val="22"/>
                <w:szCs w:val="22"/>
              </w:rPr>
              <w:t>Projekta izstrādē iesaistītās institūcijas</w:t>
            </w:r>
          </w:p>
        </w:tc>
        <w:tc>
          <w:tcPr>
            <w:tcW w:w="6459" w:type="dxa"/>
          </w:tcPr>
          <w:p w:rsidR="0024490A" w:rsidRPr="005876F3" w:rsidRDefault="0024490A" w:rsidP="0024490A">
            <w:pPr>
              <w:spacing w:after="0" w:line="240" w:lineRule="auto"/>
              <w:jc w:val="both"/>
              <w:rPr>
                <w:rFonts w:ascii="Times New Roman" w:hAnsi="Times New Roman"/>
              </w:rPr>
            </w:pPr>
            <w:r w:rsidRPr="005876F3">
              <w:rPr>
                <w:rFonts w:ascii="Times New Roman" w:hAnsi="Times New Roman"/>
              </w:rPr>
              <w:t>Ekonomikas ministrija</w:t>
            </w:r>
          </w:p>
          <w:p w:rsidR="00CE44D6" w:rsidRPr="005876F3" w:rsidRDefault="0024490A" w:rsidP="0024490A">
            <w:pPr>
              <w:spacing w:after="0" w:line="240" w:lineRule="auto"/>
              <w:jc w:val="both"/>
              <w:rPr>
                <w:rFonts w:ascii="Times New Roman" w:hAnsi="Times New Roman"/>
              </w:rPr>
            </w:pPr>
            <w:r w:rsidRPr="005876F3">
              <w:rPr>
                <w:rFonts w:ascii="Times New Roman" w:hAnsi="Times New Roman"/>
              </w:rPr>
              <w:t>Sabiedrisko pakalpojumu regulēšanas komisija</w:t>
            </w:r>
          </w:p>
        </w:tc>
      </w:tr>
      <w:tr w:rsidR="00CE44D6" w:rsidRPr="005876F3" w:rsidTr="00845D04">
        <w:trPr>
          <w:trHeight w:val="410"/>
        </w:trPr>
        <w:tc>
          <w:tcPr>
            <w:tcW w:w="550" w:type="dxa"/>
          </w:tcPr>
          <w:p w:rsidR="00CE44D6" w:rsidRPr="005876F3" w:rsidRDefault="00CE44D6" w:rsidP="00A0154D">
            <w:pPr>
              <w:pStyle w:val="naiskr"/>
              <w:spacing w:before="0" w:after="0"/>
              <w:rPr>
                <w:sz w:val="22"/>
                <w:szCs w:val="22"/>
              </w:rPr>
            </w:pPr>
            <w:r w:rsidRPr="005876F3">
              <w:rPr>
                <w:sz w:val="22"/>
                <w:szCs w:val="22"/>
              </w:rPr>
              <w:t>6.</w:t>
            </w:r>
          </w:p>
        </w:tc>
        <w:tc>
          <w:tcPr>
            <w:tcW w:w="2716" w:type="dxa"/>
          </w:tcPr>
          <w:p w:rsidR="00CE44D6" w:rsidRPr="005876F3" w:rsidRDefault="00CE44D6" w:rsidP="00A0154D">
            <w:pPr>
              <w:pStyle w:val="naiskr"/>
              <w:spacing w:before="0" w:after="0"/>
              <w:rPr>
                <w:i/>
                <w:sz w:val="22"/>
                <w:szCs w:val="22"/>
                <w:highlight w:val="yellow"/>
              </w:rPr>
            </w:pPr>
            <w:r w:rsidRPr="005876F3">
              <w:rPr>
                <w:sz w:val="22"/>
                <w:szCs w:val="22"/>
              </w:rPr>
              <w:t>Iemesli, kādēļ netika nodrošināta sabiedrības līdzdalība</w:t>
            </w:r>
          </w:p>
        </w:tc>
        <w:tc>
          <w:tcPr>
            <w:tcW w:w="6459" w:type="dxa"/>
          </w:tcPr>
          <w:p w:rsidR="00CE44D6" w:rsidRPr="005876F3" w:rsidRDefault="00260D74" w:rsidP="009353BE">
            <w:pPr>
              <w:spacing w:after="0" w:line="240" w:lineRule="auto"/>
              <w:ind w:right="81"/>
              <w:jc w:val="both"/>
              <w:rPr>
                <w:rFonts w:ascii="Times New Roman" w:hAnsi="Times New Roman"/>
              </w:rPr>
            </w:pPr>
            <w:r w:rsidRPr="00F84CD4">
              <w:rPr>
                <w:rFonts w:ascii="Times New Roman" w:hAnsi="Times New Roman"/>
              </w:rPr>
              <w:t>Pēc projekta izsludināšanas Valsts sekretāru sanāksmē paredzēta saskaņošanas procedūra atbilstoši Ministru kabineta kārtības rullim</w:t>
            </w:r>
            <w:r w:rsidR="009353BE" w:rsidRPr="00F84CD4">
              <w:rPr>
                <w:rFonts w:ascii="Times New Roman" w:hAnsi="Times New Roman"/>
              </w:rPr>
              <w:t>, kā arī tā apspriešana EM Elektroenerģijas tirgus padomē</w:t>
            </w:r>
            <w:r w:rsidR="0097250D" w:rsidRPr="00F84CD4">
              <w:rPr>
                <w:rFonts w:ascii="Times New Roman" w:hAnsi="Times New Roman"/>
              </w:rPr>
              <w:t>.</w:t>
            </w:r>
          </w:p>
        </w:tc>
      </w:tr>
      <w:tr w:rsidR="00CE44D6" w:rsidRPr="005876F3" w:rsidTr="00845D04">
        <w:tc>
          <w:tcPr>
            <w:tcW w:w="550" w:type="dxa"/>
          </w:tcPr>
          <w:p w:rsidR="00CE44D6" w:rsidRPr="005876F3" w:rsidRDefault="00CE44D6" w:rsidP="00A0154D">
            <w:pPr>
              <w:pStyle w:val="naiskr"/>
              <w:spacing w:before="0" w:after="0"/>
              <w:rPr>
                <w:sz w:val="22"/>
                <w:szCs w:val="22"/>
              </w:rPr>
            </w:pPr>
            <w:r w:rsidRPr="005876F3">
              <w:rPr>
                <w:sz w:val="22"/>
                <w:szCs w:val="22"/>
              </w:rPr>
              <w:t>7.</w:t>
            </w:r>
          </w:p>
        </w:tc>
        <w:tc>
          <w:tcPr>
            <w:tcW w:w="2716" w:type="dxa"/>
          </w:tcPr>
          <w:p w:rsidR="00CE44D6" w:rsidRPr="005876F3" w:rsidRDefault="00CE44D6" w:rsidP="00A0154D">
            <w:pPr>
              <w:pStyle w:val="naiskr"/>
              <w:spacing w:before="0" w:after="0"/>
              <w:rPr>
                <w:sz w:val="22"/>
                <w:szCs w:val="22"/>
              </w:rPr>
            </w:pPr>
            <w:r w:rsidRPr="005876F3">
              <w:rPr>
                <w:sz w:val="22"/>
                <w:szCs w:val="22"/>
              </w:rPr>
              <w:t>Cita informācija</w:t>
            </w:r>
          </w:p>
        </w:tc>
        <w:tc>
          <w:tcPr>
            <w:tcW w:w="6459" w:type="dxa"/>
          </w:tcPr>
          <w:p w:rsidR="00CE44D6" w:rsidRPr="005876F3" w:rsidRDefault="00CE44D6" w:rsidP="00A0154D">
            <w:pPr>
              <w:pStyle w:val="naiskr"/>
              <w:spacing w:before="0" w:after="0"/>
              <w:jc w:val="both"/>
              <w:rPr>
                <w:sz w:val="22"/>
                <w:szCs w:val="22"/>
              </w:rPr>
            </w:pPr>
            <w:r w:rsidRPr="005876F3">
              <w:rPr>
                <w:sz w:val="22"/>
                <w:szCs w:val="22"/>
              </w:rPr>
              <w:t>Nav</w:t>
            </w:r>
            <w:r w:rsidR="00D16AD9" w:rsidRPr="005876F3">
              <w:rPr>
                <w:sz w:val="22"/>
                <w:szCs w:val="22"/>
              </w:rPr>
              <w:t>.</w:t>
            </w:r>
          </w:p>
        </w:tc>
      </w:tr>
    </w:tbl>
    <w:p w:rsidR="00A46CBE" w:rsidRPr="00F84CD4" w:rsidRDefault="00A46CBE" w:rsidP="00A0154D">
      <w:pPr>
        <w:pStyle w:val="naisf"/>
        <w:tabs>
          <w:tab w:val="left" w:pos="5760"/>
        </w:tabs>
        <w:spacing w:before="0" w:after="0"/>
        <w:ind w:firstLine="0"/>
        <w:rPr>
          <w:sz w:val="22"/>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850"/>
        <w:gridCol w:w="5325"/>
      </w:tblGrid>
      <w:tr w:rsidR="00260D74" w:rsidRPr="005876F3" w:rsidTr="00AC5899">
        <w:tc>
          <w:tcPr>
            <w:tcW w:w="9725" w:type="dxa"/>
            <w:gridSpan w:val="3"/>
            <w:vAlign w:val="center"/>
          </w:tcPr>
          <w:p w:rsidR="00CE44D6" w:rsidRPr="005876F3" w:rsidRDefault="00CE44D6" w:rsidP="00A0154D">
            <w:pPr>
              <w:pStyle w:val="naisnod"/>
              <w:spacing w:before="0" w:after="0"/>
              <w:rPr>
                <w:sz w:val="22"/>
                <w:szCs w:val="22"/>
              </w:rPr>
            </w:pPr>
            <w:r w:rsidRPr="005876F3">
              <w:rPr>
                <w:sz w:val="22"/>
                <w:szCs w:val="22"/>
              </w:rPr>
              <w:t>II. Tiesību akta projekta ietekme uz sabiedrību</w:t>
            </w:r>
          </w:p>
        </w:tc>
      </w:tr>
      <w:tr w:rsidR="00260D74" w:rsidRPr="005876F3" w:rsidTr="00D16AD9">
        <w:trPr>
          <w:trHeight w:val="835"/>
        </w:trPr>
        <w:tc>
          <w:tcPr>
            <w:tcW w:w="550" w:type="dxa"/>
          </w:tcPr>
          <w:p w:rsidR="00CE44D6" w:rsidRPr="005876F3" w:rsidRDefault="00CE44D6" w:rsidP="00A0154D">
            <w:pPr>
              <w:pStyle w:val="naiskr"/>
              <w:spacing w:before="0" w:after="0"/>
              <w:rPr>
                <w:sz w:val="22"/>
                <w:szCs w:val="22"/>
              </w:rPr>
            </w:pPr>
            <w:r w:rsidRPr="005876F3">
              <w:rPr>
                <w:sz w:val="22"/>
                <w:szCs w:val="22"/>
              </w:rPr>
              <w:t>1.</w:t>
            </w:r>
          </w:p>
        </w:tc>
        <w:tc>
          <w:tcPr>
            <w:tcW w:w="3850" w:type="dxa"/>
          </w:tcPr>
          <w:p w:rsidR="00CE44D6" w:rsidRPr="005876F3" w:rsidRDefault="00CE44D6" w:rsidP="00A0154D">
            <w:pPr>
              <w:pStyle w:val="naiskr"/>
              <w:spacing w:before="0" w:after="0"/>
              <w:ind w:hanging="10"/>
              <w:rPr>
                <w:sz w:val="22"/>
                <w:szCs w:val="22"/>
              </w:rPr>
            </w:pPr>
            <w:r w:rsidRPr="005876F3">
              <w:rPr>
                <w:sz w:val="22"/>
                <w:szCs w:val="22"/>
              </w:rPr>
              <w:t>Sabiedrības mērķgrupa</w:t>
            </w:r>
          </w:p>
        </w:tc>
        <w:tc>
          <w:tcPr>
            <w:tcW w:w="5325" w:type="dxa"/>
          </w:tcPr>
          <w:p w:rsidR="00D358F5" w:rsidRPr="005876F3" w:rsidRDefault="00D16AD9" w:rsidP="00C6380E">
            <w:pPr>
              <w:spacing w:after="0" w:line="240" w:lineRule="auto"/>
              <w:jc w:val="both"/>
              <w:rPr>
                <w:rFonts w:ascii="Times New Roman" w:hAnsi="Times New Roman"/>
                <w:bCs/>
              </w:rPr>
            </w:pPr>
            <w:r w:rsidRPr="005876F3">
              <w:rPr>
                <w:rFonts w:ascii="Times New Roman" w:hAnsi="Times New Roman"/>
                <w:bCs/>
              </w:rPr>
              <w:t xml:space="preserve">Aptuveni </w:t>
            </w:r>
            <w:r w:rsidR="00260D74" w:rsidRPr="005876F3">
              <w:rPr>
                <w:rFonts w:ascii="Times New Roman" w:hAnsi="Times New Roman"/>
                <w:bCs/>
              </w:rPr>
              <w:t>9</w:t>
            </w:r>
            <w:r w:rsidR="00C6380E" w:rsidRPr="005876F3">
              <w:rPr>
                <w:rFonts w:ascii="Times New Roman" w:hAnsi="Times New Roman"/>
                <w:bCs/>
              </w:rPr>
              <w:t>00000</w:t>
            </w:r>
            <w:r w:rsidRPr="005876F3">
              <w:rPr>
                <w:rFonts w:ascii="Times New Roman" w:hAnsi="Times New Roman"/>
                <w:bCs/>
              </w:rPr>
              <w:t xml:space="preserve"> elektroenerģijas galalietotāju, kam šobrīd ir tiesības pirkt elektroenerģiju par regulētu tarifu. Sistēmu operatori, tirgotāji, publiskais tirgotājs.</w:t>
            </w:r>
          </w:p>
        </w:tc>
      </w:tr>
      <w:tr w:rsidR="00260D74" w:rsidRPr="005876F3" w:rsidTr="00AC5899">
        <w:trPr>
          <w:trHeight w:val="472"/>
        </w:trPr>
        <w:tc>
          <w:tcPr>
            <w:tcW w:w="550" w:type="dxa"/>
          </w:tcPr>
          <w:p w:rsidR="00CE44D6" w:rsidRPr="005876F3" w:rsidRDefault="00CE44D6" w:rsidP="00A0154D">
            <w:pPr>
              <w:pStyle w:val="naiskr"/>
              <w:spacing w:before="0" w:after="0"/>
              <w:rPr>
                <w:sz w:val="22"/>
                <w:szCs w:val="22"/>
              </w:rPr>
            </w:pPr>
            <w:r w:rsidRPr="005876F3">
              <w:rPr>
                <w:sz w:val="22"/>
                <w:szCs w:val="22"/>
              </w:rPr>
              <w:t>2.</w:t>
            </w:r>
          </w:p>
        </w:tc>
        <w:tc>
          <w:tcPr>
            <w:tcW w:w="3850" w:type="dxa"/>
          </w:tcPr>
          <w:p w:rsidR="00CE44D6" w:rsidRPr="005876F3" w:rsidRDefault="00CE44D6" w:rsidP="00A0154D">
            <w:pPr>
              <w:pStyle w:val="naiskr"/>
              <w:tabs>
                <w:tab w:val="left" w:pos="170"/>
              </w:tabs>
              <w:spacing w:before="0" w:after="0"/>
              <w:rPr>
                <w:sz w:val="22"/>
                <w:szCs w:val="22"/>
              </w:rPr>
            </w:pPr>
            <w:r w:rsidRPr="005876F3">
              <w:rPr>
                <w:sz w:val="22"/>
                <w:szCs w:val="22"/>
              </w:rPr>
              <w:t>Citas sabiedrības grupas (bez mērķgrupas), kuras tiesiskais regulējums arī ietekmē vai varētu ietekmēt</w:t>
            </w:r>
          </w:p>
        </w:tc>
        <w:tc>
          <w:tcPr>
            <w:tcW w:w="5325" w:type="dxa"/>
          </w:tcPr>
          <w:p w:rsidR="00CE44D6" w:rsidRPr="005876F3" w:rsidRDefault="00D16AD9" w:rsidP="00A0154D">
            <w:pPr>
              <w:spacing w:after="0" w:line="240" w:lineRule="auto"/>
              <w:jc w:val="both"/>
              <w:rPr>
                <w:rFonts w:ascii="Times New Roman" w:hAnsi="Times New Roman"/>
              </w:rPr>
            </w:pPr>
            <w:r w:rsidRPr="005876F3">
              <w:rPr>
                <w:rFonts w:ascii="Times New Roman" w:hAnsi="Times New Roman"/>
              </w:rPr>
              <w:t>Nav.</w:t>
            </w:r>
          </w:p>
        </w:tc>
      </w:tr>
      <w:tr w:rsidR="00260D74" w:rsidRPr="005876F3" w:rsidTr="00260D74">
        <w:trPr>
          <w:trHeight w:val="386"/>
        </w:trPr>
        <w:tc>
          <w:tcPr>
            <w:tcW w:w="550" w:type="dxa"/>
          </w:tcPr>
          <w:p w:rsidR="00CE44D6" w:rsidRPr="005876F3" w:rsidRDefault="00CE44D6" w:rsidP="00A0154D">
            <w:pPr>
              <w:pStyle w:val="naiskr"/>
              <w:spacing w:before="0" w:after="0"/>
              <w:rPr>
                <w:sz w:val="22"/>
                <w:szCs w:val="22"/>
              </w:rPr>
            </w:pPr>
            <w:r w:rsidRPr="005876F3">
              <w:rPr>
                <w:sz w:val="22"/>
                <w:szCs w:val="22"/>
              </w:rPr>
              <w:t>3.</w:t>
            </w:r>
          </w:p>
        </w:tc>
        <w:tc>
          <w:tcPr>
            <w:tcW w:w="3850" w:type="dxa"/>
          </w:tcPr>
          <w:p w:rsidR="00CE44D6" w:rsidRPr="00B7041A" w:rsidRDefault="00CE44D6" w:rsidP="00A0154D">
            <w:pPr>
              <w:spacing w:after="0" w:line="240" w:lineRule="auto"/>
              <w:rPr>
                <w:rFonts w:ascii="Times New Roman" w:eastAsia="Times New Roman" w:hAnsi="Times New Roman"/>
                <w:lang w:eastAsia="lv-LV"/>
              </w:rPr>
            </w:pPr>
            <w:r w:rsidRPr="00B7041A">
              <w:rPr>
                <w:rFonts w:ascii="Times New Roman" w:eastAsia="Times New Roman" w:hAnsi="Times New Roman"/>
                <w:lang w:eastAsia="lv-LV"/>
              </w:rPr>
              <w:t>Tiesiskā regulējuma finansiālā ietekme</w:t>
            </w:r>
          </w:p>
        </w:tc>
        <w:tc>
          <w:tcPr>
            <w:tcW w:w="5325" w:type="dxa"/>
          </w:tcPr>
          <w:p w:rsidR="00D03E73" w:rsidRPr="00B7041A" w:rsidRDefault="00D03E73" w:rsidP="00EC2E44">
            <w:pPr>
              <w:autoSpaceDE w:val="0"/>
              <w:autoSpaceDN w:val="0"/>
              <w:adjustRightInd w:val="0"/>
              <w:spacing w:after="0" w:line="240" w:lineRule="auto"/>
              <w:jc w:val="both"/>
              <w:rPr>
                <w:rFonts w:ascii="Times New Roman" w:hAnsi="Times New Roman"/>
                <w:lang w:eastAsia="lv-LV"/>
              </w:rPr>
            </w:pPr>
            <w:r w:rsidRPr="00B7041A">
              <w:rPr>
                <w:rFonts w:ascii="Times New Roman" w:hAnsi="Times New Roman"/>
              </w:rPr>
              <w:t xml:space="preserve">Ņemot vērā elektroenerģijas vairumtirdzniecības dotā brīža cenas un nākotnes tendences, kas liecina, ka būtisks cenu pieaugums uz ziemas mēnešiem nav gaidāms, tie lietotāji, kuriem </w:t>
            </w:r>
            <w:r w:rsidRPr="00B7041A">
              <w:rPr>
                <w:rFonts w:ascii="Times New Roman" w:eastAsia="Arial Unicode MS" w:hAnsi="Times New Roman"/>
                <w:lang w:eastAsia="lv-LV"/>
              </w:rPr>
              <w:t xml:space="preserve">elektroenerģija būs jāpērk par tirgus cenu un kļūstot par tirgus dalībniekiem varēs samazināt izdevumus par elektroenerģiju, jo tirgus cenas ir zem regulētajos tarifos iestrādātās elektroenerģijas cenas. Tomēr ir svarīgi apzināties, ka elektroenerģijas vairumtirdzniecības tirgus ir </w:t>
            </w:r>
            <w:r w:rsidRPr="00B7041A">
              <w:rPr>
                <w:rFonts w:ascii="Times New Roman" w:hAnsi="Times New Roman"/>
                <w:lang w:eastAsia="lv-LV"/>
              </w:rPr>
              <w:t>pakļautas dažādiem svārstīgiem faktoriem kā citu energoresursu cenām globālajā tirgū, klimatisko apstākļu izmaiņām, u.c. dažādiem faktoriem.</w:t>
            </w:r>
          </w:p>
          <w:p w:rsidR="00AB3D14" w:rsidRPr="00EF7A4D" w:rsidRDefault="00AB3D14" w:rsidP="00D03E73">
            <w:pPr>
              <w:autoSpaceDE w:val="0"/>
              <w:autoSpaceDN w:val="0"/>
              <w:adjustRightInd w:val="0"/>
              <w:spacing w:after="0" w:line="240" w:lineRule="auto"/>
              <w:jc w:val="both"/>
              <w:rPr>
                <w:rFonts w:ascii="Times New Roman" w:hAnsi="Times New Roman"/>
                <w:lang w:eastAsia="lv-LV"/>
              </w:rPr>
            </w:pPr>
          </w:p>
          <w:p w:rsidR="00AB3D14" w:rsidRPr="00EF7A4D" w:rsidRDefault="00AB3D14" w:rsidP="00D03E73">
            <w:pPr>
              <w:autoSpaceDE w:val="0"/>
              <w:autoSpaceDN w:val="0"/>
              <w:adjustRightInd w:val="0"/>
              <w:spacing w:after="0" w:line="240" w:lineRule="auto"/>
              <w:jc w:val="both"/>
              <w:rPr>
                <w:rFonts w:ascii="Times New Roman" w:hAnsi="Times New Roman"/>
                <w:lang w:eastAsia="lv-LV"/>
              </w:rPr>
            </w:pPr>
            <w:r w:rsidRPr="00EF7A4D">
              <w:rPr>
                <w:rFonts w:ascii="Times New Roman" w:hAnsi="Times New Roman"/>
                <w:lang w:eastAsia="lv-LV"/>
              </w:rPr>
              <w:t>Pēc elektroenerģijas tirgus atvēršanas netiks turpināta AS „Latvenergo” sociālā atbalsta kampaņa, kuras ietvaros tika nodrošināts atbalsts elektroenerģijas maksājumiem (500kWh Elektroenerģijas norēķinu kartes) iedzīvotājiem, kuriem ir piešķirts trūcīgā iedzīvotāja statuss. Līdz ar to paredzams lielāks finansiālais slogs uz pašvaldībām un sociālajiem dienestiem.</w:t>
            </w:r>
          </w:p>
          <w:p w:rsidR="00CE44D6" w:rsidRPr="00B7041A" w:rsidRDefault="00CE44D6" w:rsidP="00A0154D">
            <w:pPr>
              <w:spacing w:after="0" w:line="240" w:lineRule="auto"/>
              <w:jc w:val="both"/>
              <w:rPr>
                <w:rFonts w:ascii="Times New Roman" w:hAnsi="Times New Roman"/>
              </w:rPr>
            </w:pPr>
          </w:p>
        </w:tc>
      </w:tr>
      <w:tr w:rsidR="00260D74" w:rsidRPr="005876F3" w:rsidTr="009731B4">
        <w:trPr>
          <w:trHeight w:val="557"/>
        </w:trPr>
        <w:tc>
          <w:tcPr>
            <w:tcW w:w="550" w:type="dxa"/>
          </w:tcPr>
          <w:p w:rsidR="00CE44D6" w:rsidRPr="005876F3" w:rsidRDefault="00CE44D6" w:rsidP="00A0154D">
            <w:pPr>
              <w:pStyle w:val="naiskr"/>
              <w:spacing w:before="0" w:after="0"/>
              <w:rPr>
                <w:sz w:val="22"/>
                <w:szCs w:val="22"/>
              </w:rPr>
            </w:pPr>
            <w:r w:rsidRPr="005876F3">
              <w:rPr>
                <w:sz w:val="22"/>
                <w:szCs w:val="22"/>
              </w:rPr>
              <w:t>4.</w:t>
            </w:r>
          </w:p>
        </w:tc>
        <w:tc>
          <w:tcPr>
            <w:tcW w:w="3850" w:type="dxa"/>
          </w:tcPr>
          <w:p w:rsidR="00CE44D6" w:rsidRPr="005876F3" w:rsidRDefault="00CE44D6" w:rsidP="00A0154D">
            <w:pPr>
              <w:spacing w:after="0" w:line="240" w:lineRule="auto"/>
              <w:rPr>
                <w:rFonts w:ascii="Times New Roman" w:eastAsia="Times New Roman" w:hAnsi="Times New Roman"/>
                <w:lang w:eastAsia="lv-LV"/>
              </w:rPr>
            </w:pPr>
            <w:r w:rsidRPr="005876F3">
              <w:rPr>
                <w:rFonts w:ascii="Times New Roman" w:eastAsia="Times New Roman" w:hAnsi="Times New Roman"/>
                <w:lang w:eastAsia="lv-LV"/>
              </w:rPr>
              <w:t>Tiesiskā regulējuma nefinansiālā ietekme</w:t>
            </w:r>
          </w:p>
        </w:tc>
        <w:tc>
          <w:tcPr>
            <w:tcW w:w="5325" w:type="dxa"/>
          </w:tcPr>
          <w:p w:rsidR="006067E8" w:rsidRPr="005876F3" w:rsidRDefault="00D03E73" w:rsidP="00122ED0">
            <w:pPr>
              <w:spacing w:after="0" w:line="240" w:lineRule="auto"/>
              <w:jc w:val="both"/>
              <w:rPr>
                <w:rFonts w:ascii="Times New Roman" w:eastAsia="Times New Roman" w:hAnsi="Times New Roman"/>
                <w:lang w:eastAsia="lv-LV"/>
              </w:rPr>
            </w:pPr>
            <w:r w:rsidRPr="005876F3">
              <w:rPr>
                <w:rFonts w:ascii="Times New Roman" w:eastAsia="Times New Roman" w:hAnsi="Times New Roman"/>
                <w:lang w:eastAsia="lv-LV"/>
              </w:rPr>
              <w:t>Esošā likuma, kā arī likumprojekta redakcijas paredz nodrošināt elektroenerģijas lietotājus ar elektroenerģiju universālā pakalpojuma un pēdējās garantētās piegādes ietvaros gadījumos, ja lietotājam nav spēkā esoša elektroenerģijas tirdzniecības līguma. Noteikts arī lietotāju pienākums norēķināties par saņemtajiem pakalpojumiem.</w:t>
            </w:r>
            <w:r w:rsidR="00122ED0" w:rsidRPr="005876F3">
              <w:rPr>
                <w:rFonts w:ascii="Times New Roman" w:eastAsia="Times New Roman" w:hAnsi="Times New Roman"/>
                <w:lang w:eastAsia="lv-LV"/>
              </w:rPr>
              <w:t xml:space="preserve"> Esošais likums un likumprojekts paredz g</w:t>
            </w:r>
            <w:r w:rsidR="00122ED0" w:rsidRPr="005876F3">
              <w:rPr>
                <w:rFonts w:ascii="Times New Roman" w:hAnsi="Times New Roman"/>
              </w:rPr>
              <w:t>alalietotāja tiesības bez ierobežojumiem mainīt elektroenerģijas tirgotāju, iepriekš par to paziņojot tirgotājam, ar kuru tas noslēdzis elektroenerģijas tirdzniecības līgumu. Likumprojektā paziņošanas termiņa maksimālais ilgums ir samazināts līdz 14 dienām.</w:t>
            </w:r>
          </w:p>
        </w:tc>
      </w:tr>
      <w:tr w:rsidR="00260D74" w:rsidRPr="005876F3" w:rsidTr="00AC5899">
        <w:trPr>
          <w:trHeight w:val="476"/>
        </w:trPr>
        <w:tc>
          <w:tcPr>
            <w:tcW w:w="550" w:type="dxa"/>
          </w:tcPr>
          <w:p w:rsidR="00CE44D6" w:rsidRPr="005876F3" w:rsidRDefault="00CE44D6" w:rsidP="00A0154D">
            <w:pPr>
              <w:pStyle w:val="naiskr"/>
              <w:spacing w:before="0" w:after="0"/>
              <w:rPr>
                <w:sz w:val="22"/>
                <w:szCs w:val="22"/>
              </w:rPr>
            </w:pPr>
            <w:r w:rsidRPr="005876F3">
              <w:rPr>
                <w:sz w:val="22"/>
                <w:szCs w:val="22"/>
              </w:rPr>
              <w:t>5.</w:t>
            </w:r>
          </w:p>
        </w:tc>
        <w:tc>
          <w:tcPr>
            <w:tcW w:w="3850" w:type="dxa"/>
          </w:tcPr>
          <w:p w:rsidR="00CE44D6" w:rsidRPr="005876F3" w:rsidRDefault="00CE44D6" w:rsidP="00A0154D">
            <w:pPr>
              <w:spacing w:after="0" w:line="240" w:lineRule="auto"/>
              <w:rPr>
                <w:rFonts w:ascii="Times New Roman" w:eastAsia="Times New Roman" w:hAnsi="Times New Roman"/>
                <w:lang w:eastAsia="lv-LV"/>
              </w:rPr>
            </w:pPr>
            <w:r w:rsidRPr="005876F3">
              <w:rPr>
                <w:rFonts w:ascii="Times New Roman" w:eastAsia="Times New Roman" w:hAnsi="Times New Roman"/>
                <w:lang w:eastAsia="lv-LV"/>
              </w:rPr>
              <w:t>Administratīvās procedūras raksturojums</w:t>
            </w:r>
          </w:p>
        </w:tc>
        <w:tc>
          <w:tcPr>
            <w:tcW w:w="5325" w:type="dxa"/>
          </w:tcPr>
          <w:p w:rsidR="00CD599E" w:rsidRPr="005876F3" w:rsidRDefault="00F4577B" w:rsidP="00A0154D">
            <w:pPr>
              <w:spacing w:after="0" w:line="240" w:lineRule="auto"/>
              <w:jc w:val="both"/>
              <w:rPr>
                <w:rFonts w:ascii="Times New Roman" w:eastAsia="Times New Roman" w:hAnsi="Times New Roman"/>
                <w:lang w:eastAsia="lv-LV"/>
              </w:rPr>
            </w:pPr>
            <w:r w:rsidRPr="005876F3">
              <w:rPr>
                <w:rFonts w:ascii="Times New Roman" w:hAnsi="Times New Roman"/>
              </w:rPr>
              <w:t>Projekts šo jomu neskar.</w:t>
            </w:r>
          </w:p>
        </w:tc>
      </w:tr>
      <w:tr w:rsidR="00260D74" w:rsidRPr="005876F3" w:rsidTr="00A226BC">
        <w:trPr>
          <w:trHeight w:val="469"/>
        </w:trPr>
        <w:tc>
          <w:tcPr>
            <w:tcW w:w="550" w:type="dxa"/>
          </w:tcPr>
          <w:p w:rsidR="00CE44D6" w:rsidRPr="005876F3" w:rsidRDefault="00CE44D6" w:rsidP="00A0154D">
            <w:pPr>
              <w:pStyle w:val="naiskr"/>
              <w:spacing w:before="0" w:after="0"/>
              <w:rPr>
                <w:sz w:val="22"/>
                <w:szCs w:val="22"/>
              </w:rPr>
            </w:pPr>
            <w:r w:rsidRPr="005876F3">
              <w:rPr>
                <w:sz w:val="22"/>
                <w:szCs w:val="22"/>
              </w:rPr>
              <w:t>6.</w:t>
            </w:r>
          </w:p>
        </w:tc>
        <w:tc>
          <w:tcPr>
            <w:tcW w:w="3850" w:type="dxa"/>
          </w:tcPr>
          <w:p w:rsidR="00CE44D6" w:rsidRPr="005876F3" w:rsidRDefault="00CE44D6" w:rsidP="00A0154D">
            <w:pPr>
              <w:spacing w:after="0" w:line="240" w:lineRule="auto"/>
              <w:rPr>
                <w:rFonts w:ascii="Times New Roman" w:eastAsia="Times New Roman" w:hAnsi="Times New Roman"/>
                <w:lang w:eastAsia="lv-LV"/>
              </w:rPr>
            </w:pPr>
            <w:r w:rsidRPr="005876F3">
              <w:rPr>
                <w:rFonts w:ascii="Times New Roman" w:eastAsia="Times New Roman" w:hAnsi="Times New Roman"/>
                <w:lang w:eastAsia="lv-LV"/>
              </w:rPr>
              <w:t>Administratīvo izmaksu monetārs novērtējums</w:t>
            </w:r>
          </w:p>
        </w:tc>
        <w:tc>
          <w:tcPr>
            <w:tcW w:w="5325" w:type="dxa"/>
          </w:tcPr>
          <w:p w:rsidR="00AD4F27" w:rsidRPr="005876F3" w:rsidRDefault="00314456" w:rsidP="00A0154D">
            <w:pPr>
              <w:spacing w:after="0" w:line="240" w:lineRule="auto"/>
              <w:jc w:val="both"/>
              <w:rPr>
                <w:rFonts w:ascii="Times New Roman" w:eastAsia="Times New Roman" w:hAnsi="Times New Roman"/>
                <w:lang w:eastAsia="lv-LV"/>
              </w:rPr>
            </w:pPr>
            <w:r w:rsidRPr="005876F3">
              <w:rPr>
                <w:rFonts w:ascii="Times New Roman" w:hAnsi="Times New Roman"/>
                <w:iCs/>
              </w:rPr>
              <w:t>Projekts šo jomu neskar.</w:t>
            </w:r>
          </w:p>
        </w:tc>
      </w:tr>
      <w:tr w:rsidR="00CE44D6" w:rsidRPr="005876F3" w:rsidTr="00A226BC">
        <w:trPr>
          <w:trHeight w:val="324"/>
        </w:trPr>
        <w:tc>
          <w:tcPr>
            <w:tcW w:w="550" w:type="dxa"/>
          </w:tcPr>
          <w:p w:rsidR="00CE44D6" w:rsidRPr="005876F3" w:rsidRDefault="00CE44D6" w:rsidP="00A0154D">
            <w:pPr>
              <w:pStyle w:val="naiskr"/>
              <w:spacing w:before="0" w:after="0"/>
              <w:rPr>
                <w:sz w:val="22"/>
                <w:szCs w:val="22"/>
              </w:rPr>
            </w:pPr>
            <w:r w:rsidRPr="005876F3">
              <w:rPr>
                <w:sz w:val="22"/>
                <w:szCs w:val="22"/>
              </w:rPr>
              <w:t>7.</w:t>
            </w:r>
          </w:p>
        </w:tc>
        <w:tc>
          <w:tcPr>
            <w:tcW w:w="3850" w:type="dxa"/>
          </w:tcPr>
          <w:p w:rsidR="00CE44D6" w:rsidRPr="005876F3" w:rsidRDefault="00CE44D6" w:rsidP="00A0154D">
            <w:pPr>
              <w:spacing w:after="0" w:line="240" w:lineRule="auto"/>
              <w:rPr>
                <w:rFonts w:ascii="Times New Roman" w:eastAsia="Times New Roman" w:hAnsi="Times New Roman"/>
                <w:lang w:eastAsia="lv-LV"/>
              </w:rPr>
            </w:pPr>
            <w:r w:rsidRPr="005876F3">
              <w:rPr>
                <w:rFonts w:ascii="Times New Roman" w:eastAsia="Times New Roman" w:hAnsi="Times New Roman"/>
                <w:lang w:eastAsia="lv-LV"/>
              </w:rPr>
              <w:t>Cita informācija</w:t>
            </w:r>
          </w:p>
        </w:tc>
        <w:tc>
          <w:tcPr>
            <w:tcW w:w="5325" w:type="dxa"/>
          </w:tcPr>
          <w:p w:rsidR="00AD4F27" w:rsidRPr="005876F3" w:rsidRDefault="00CE44D6" w:rsidP="00A0154D">
            <w:pPr>
              <w:spacing w:after="0" w:line="240" w:lineRule="auto"/>
              <w:rPr>
                <w:rFonts w:ascii="Times New Roman" w:eastAsia="Times New Roman" w:hAnsi="Times New Roman"/>
                <w:lang w:eastAsia="lv-LV"/>
              </w:rPr>
            </w:pPr>
            <w:r w:rsidRPr="005876F3">
              <w:rPr>
                <w:rFonts w:ascii="Times New Roman" w:eastAsia="Times New Roman" w:hAnsi="Times New Roman"/>
                <w:lang w:eastAsia="lv-LV"/>
              </w:rPr>
              <w:t>Nav</w:t>
            </w:r>
            <w:r w:rsidR="00F4577B" w:rsidRPr="005876F3">
              <w:rPr>
                <w:rFonts w:ascii="Times New Roman" w:eastAsia="Times New Roman" w:hAnsi="Times New Roman"/>
                <w:lang w:eastAsia="lv-LV"/>
              </w:rPr>
              <w: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276"/>
        <w:gridCol w:w="1276"/>
        <w:gridCol w:w="1275"/>
        <w:gridCol w:w="1225"/>
        <w:gridCol w:w="1150"/>
      </w:tblGrid>
      <w:tr w:rsidR="00F84CD4" w:rsidTr="00F84CD4">
        <w:tc>
          <w:tcPr>
            <w:tcW w:w="9287" w:type="dxa"/>
            <w:gridSpan w:val="6"/>
            <w:tcBorders>
              <w:top w:val="single" w:sz="4" w:space="0" w:color="auto"/>
              <w:left w:val="single" w:sz="4" w:space="0" w:color="auto"/>
              <w:bottom w:val="single" w:sz="4" w:space="0" w:color="auto"/>
              <w:right w:val="single" w:sz="4" w:space="0" w:color="auto"/>
            </w:tcBorders>
            <w:hideMark/>
          </w:tcPr>
          <w:p w:rsidR="00F84CD4" w:rsidRDefault="00F84CD4">
            <w:pPr>
              <w:pStyle w:val="tvhtml1"/>
              <w:spacing w:before="0" w:beforeAutospacing="0" w:line="240" w:lineRule="auto"/>
              <w:jc w:val="center"/>
              <w:rPr>
                <w:rFonts w:ascii="Times New Roman" w:hAnsi="Times New Roman"/>
                <w:sz w:val="24"/>
                <w:szCs w:val="24"/>
              </w:rPr>
            </w:pPr>
            <w:r>
              <w:rPr>
                <w:rFonts w:ascii="Times New Roman" w:hAnsi="Times New Roman"/>
                <w:b/>
                <w:bCs/>
                <w:sz w:val="24"/>
                <w:szCs w:val="24"/>
              </w:rPr>
              <w:lastRenderedPageBreak/>
              <w:t>III. Tiesību akta projekta ietekme uz valsts budžetu un pašvaldību budžetiem</w:t>
            </w:r>
          </w:p>
        </w:tc>
      </w:tr>
      <w:tr w:rsidR="00F84CD4" w:rsidTr="00F84CD4">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F84CD4" w:rsidRDefault="00F84CD4">
            <w:pPr>
              <w:pStyle w:val="tvhtml1"/>
              <w:spacing w:before="0" w:beforeAutospacing="0" w:line="240" w:lineRule="auto"/>
              <w:jc w:val="center"/>
              <w:rPr>
                <w:rFonts w:ascii="Times New Roman" w:hAnsi="Times New Roman"/>
                <w:sz w:val="24"/>
                <w:szCs w:val="24"/>
              </w:rPr>
            </w:pPr>
            <w:r>
              <w:rPr>
                <w:rFonts w:ascii="Times New Roman" w:hAnsi="Times New Roman"/>
                <w:b/>
                <w:bCs/>
                <w:sz w:val="24"/>
                <w:szCs w:val="24"/>
              </w:rPr>
              <w:t>Rādītāji</w:t>
            </w:r>
          </w:p>
        </w:tc>
        <w:tc>
          <w:tcPr>
            <w:tcW w:w="255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84CD4" w:rsidRDefault="00F84CD4">
            <w:pPr>
              <w:pStyle w:val="tvhtml1"/>
              <w:spacing w:before="0" w:beforeAutospacing="0" w:line="240" w:lineRule="auto"/>
              <w:jc w:val="center"/>
              <w:rPr>
                <w:rFonts w:ascii="Times New Roman" w:hAnsi="Times New Roman"/>
                <w:sz w:val="24"/>
                <w:szCs w:val="24"/>
              </w:rPr>
            </w:pPr>
            <w:r>
              <w:rPr>
                <w:rFonts w:ascii="Times New Roman" w:hAnsi="Times New Roman"/>
                <w:b/>
                <w:bCs/>
                <w:sz w:val="24"/>
                <w:szCs w:val="24"/>
              </w:rPr>
              <w:t>n-tais gads</w:t>
            </w:r>
          </w:p>
        </w:tc>
        <w:tc>
          <w:tcPr>
            <w:tcW w:w="3650" w:type="dxa"/>
            <w:gridSpan w:val="3"/>
            <w:tcBorders>
              <w:top w:val="single" w:sz="4" w:space="0" w:color="auto"/>
              <w:left w:val="single" w:sz="4" w:space="0" w:color="auto"/>
              <w:bottom w:val="single" w:sz="4" w:space="0" w:color="auto"/>
              <w:right w:val="single" w:sz="4" w:space="0" w:color="auto"/>
            </w:tcBorders>
            <w:vAlign w:val="center"/>
            <w:hideMark/>
          </w:tcPr>
          <w:p w:rsidR="00F84CD4" w:rsidRDefault="00F84CD4">
            <w:pPr>
              <w:pStyle w:val="tvhtml1"/>
              <w:spacing w:before="0" w:beforeAutospacing="0" w:line="240" w:lineRule="auto"/>
              <w:jc w:val="center"/>
              <w:rPr>
                <w:rFonts w:ascii="Times New Roman" w:hAnsi="Times New Roman"/>
                <w:sz w:val="24"/>
                <w:szCs w:val="24"/>
              </w:rPr>
            </w:pPr>
            <w:r>
              <w:rPr>
                <w:rFonts w:ascii="Times New Roman" w:hAnsi="Times New Roman"/>
                <w:sz w:val="24"/>
                <w:szCs w:val="24"/>
              </w:rPr>
              <w:t>Turpmākie trīs gadi (tūkst. latu)</w:t>
            </w:r>
          </w:p>
        </w:tc>
      </w:tr>
      <w:tr w:rsidR="00F84CD4" w:rsidTr="00F84CD4">
        <w:tc>
          <w:tcPr>
            <w:tcW w:w="0" w:type="auto"/>
            <w:vMerge/>
            <w:tcBorders>
              <w:top w:val="single" w:sz="4" w:space="0" w:color="auto"/>
              <w:left w:val="single" w:sz="4" w:space="0" w:color="auto"/>
              <w:bottom w:val="single" w:sz="4" w:space="0" w:color="auto"/>
              <w:right w:val="single" w:sz="4" w:space="0" w:color="auto"/>
            </w:tcBorders>
            <w:vAlign w:val="center"/>
            <w:hideMark/>
          </w:tcPr>
          <w:p w:rsidR="00F84CD4" w:rsidRDefault="00F84CD4">
            <w:pPr>
              <w:spacing w:after="0" w:line="240" w:lineRule="auto"/>
              <w:rPr>
                <w:rFonts w:ascii="Times New Roman" w:eastAsia="Times New Roman" w:hAnsi="Times New Roman"/>
                <w:sz w:val="24"/>
                <w:szCs w:val="24"/>
                <w:lang w:eastAsia="lv-LV"/>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84CD4" w:rsidRDefault="00F84CD4">
            <w:pPr>
              <w:spacing w:after="0" w:line="240" w:lineRule="auto"/>
              <w:rPr>
                <w:rFonts w:ascii="Times New Roman" w:eastAsia="Times New Roman" w:hAnsi="Times New Roman"/>
                <w:sz w:val="24"/>
                <w:szCs w:val="24"/>
                <w:lang w:eastAsia="lv-LV"/>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F84CD4" w:rsidRDefault="00F84CD4">
            <w:pPr>
              <w:pStyle w:val="tvhtml1"/>
              <w:spacing w:before="0" w:beforeAutospacing="0" w:line="240" w:lineRule="auto"/>
              <w:jc w:val="center"/>
              <w:rPr>
                <w:rFonts w:ascii="Times New Roman" w:hAnsi="Times New Roman"/>
                <w:sz w:val="24"/>
                <w:szCs w:val="24"/>
              </w:rPr>
            </w:pPr>
            <w:r>
              <w:rPr>
                <w:rFonts w:ascii="Times New Roman" w:hAnsi="Times New Roman"/>
                <w:b/>
                <w:bCs/>
                <w:sz w:val="24"/>
                <w:szCs w:val="24"/>
              </w:rPr>
              <w:t>n+1</w:t>
            </w:r>
          </w:p>
        </w:tc>
        <w:tc>
          <w:tcPr>
            <w:tcW w:w="1225" w:type="dxa"/>
            <w:tcBorders>
              <w:top w:val="single" w:sz="4" w:space="0" w:color="auto"/>
              <w:left w:val="single" w:sz="4" w:space="0" w:color="auto"/>
              <w:bottom w:val="single" w:sz="4" w:space="0" w:color="auto"/>
              <w:right w:val="single" w:sz="4" w:space="0" w:color="auto"/>
            </w:tcBorders>
            <w:vAlign w:val="center"/>
            <w:hideMark/>
          </w:tcPr>
          <w:p w:rsidR="00F84CD4" w:rsidRDefault="00F84CD4">
            <w:pPr>
              <w:pStyle w:val="tvhtml1"/>
              <w:spacing w:before="0" w:beforeAutospacing="0" w:line="240" w:lineRule="auto"/>
              <w:jc w:val="center"/>
              <w:rPr>
                <w:rFonts w:ascii="Times New Roman" w:hAnsi="Times New Roman"/>
                <w:sz w:val="24"/>
                <w:szCs w:val="24"/>
              </w:rPr>
            </w:pPr>
            <w:r>
              <w:rPr>
                <w:rFonts w:ascii="Times New Roman" w:hAnsi="Times New Roman"/>
                <w:b/>
                <w:bCs/>
                <w:sz w:val="24"/>
                <w:szCs w:val="24"/>
              </w:rPr>
              <w:t>n+2</w:t>
            </w:r>
          </w:p>
        </w:tc>
        <w:tc>
          <w:tcPr>
            <w:tcW w:w="1150" w:type="dxa"/>
            <w:tcBorders>
              <w:top w:val="single" w:sz="4" w:space="0" w:color="auto"/>
              <w:left w:val="single" w:sz="4" w:space="0" w:color="auto"/>
              <w:bottom w:val="single" w:sz="4" w:space="0" w:color="auto"/>
              <w:right w:val="single" w:sz="4" w:space="0" w:color="auto"/>
            </w:tcBorders>
            <w:vAlign w:val="center"/>
            <w:hideMark/>
          </w:tcPr>
          <w:p w:rsidR="00F84CD4" w:rsidRDefault="00F84CD4">
            <w:pPr>
              <w:pStyle w:val="tvhtml1"/>
              <w:spacing w:before="0" w:beforeAutospacing="0" w:line="240" w:lineRule="auto"/>
              <w:jc w:val="center"/>
              <w:rPr>
                <w:rFonts w:ascii="Times New Roman" w:hAnsi="Times New Roman"/>
                <w:sz w:val="24"/>
                <w:szCs w:val="24"/>
              </w:rPr>
            </w:pPr>
            <w:r>
              <w:rPr>
                <w:rFonts w:ascii="Times New Roman" w:hAnsi="Times New Roman"/>
                <w:b/>
                <w:bCs/>
                <w:sz w:val="24"/>
                <w:szCs w:val="24"/>
              </w:rPr>
              <w:t>n+3</w:t>
            </w:r>
          </w:p>
        </w:tc>
      </w:tr>
      <w:tr w:rsidR="00F84CD4" w:rsidTr="00F84CD4">
        <w:tc>
          <w:tcPr>
            <w:tcW w:w="0" w:type="auto"/>
            <w:vMerge/>
            <w:tcBorders>
              <w:top w:val="single" w:sz="4" w:space="0" w:color="auto"/>
              <w:left w:val="single" w:sz="4" w:space="0" w:color="auto"/>
              <w:bottom w:val="single" w:sz="4" w:space="0" w:color="auto"/>
              <w:right w:val="single" w:sz="4" w:space="0" w:color="auto"/>
            </w:tcBorders>
            <w:vAlign w:val="center"/>
            <w:hideMark/>
          </w:tcPr>
          <w:p w:rsidR="00F84CD4" w:rsidRDefault="00F84CD4">
            <w:pPr>
              <w:spacing w:after="0" w:line="240" w:lineRule="auto"/>
              <w:rPr>
                <w:rFonts w:ascii="Times New Roman" w:eastAsia="Times New Roman" w:hAnsi="Times New Roman"/>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84CD4" w:rsidRDefault="00F84CD4">
            <w:pPr>
              <w:pStyle w:val="tvhtml1"/>
              <w:spacing w:before="0" w:beforeAutospacing="0" w:line="240" w:lineRule="auto"/>
              <w:jc w:val="center"/>
              <w:rPr>
                <w:rFonts w:ascii="Times New Roman" w:hAnsi="Times New Roman"/>
                <w:sz w:val="24"/>
                <w:szCs w:val="24"/>
              </w:rPr>
            </w:pPr>
            <w:r>
              <w:rPr>
                <w:rFonts w:ascii="Times New Roman" w:hAnsi="Times New Roman"/>
                <w:sz w:val="24"/>
                <w:szCs w:val="24"/>
              </w:rPr>
              <w:t>Saskaņā ar valsts budžetu kārtējam gadam</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4CD4" w:rsidRDefault="00F84CD4">
            <w:pPr>
              <w:pStyle w:val="tvhtml1"/>
              <w:spacing w:before="0" w:beforeAutospacing="0" w:line="240" w:lineRule="auto"/>
              <w:jc w:val="center"/>
              <w:rPr>
                <w:rFonts w:ascii="Times New Roman" w:hAnsi="Times New Roman"/>
                <w:sz w:val="24"/>
                <w:szCs w:val="24"/>
              </w:rPr>
            </w:pPr>
            <w:r>
              <w:rPr>
                <w:rFonts w:ascii="Times New Roman" w:hAnsi="Times New Roman"/>
                <w:sz w:val="24"/>
                <w:szCs w:val="24"/>
              </w:rPr>
              <w:t>Izmaiņas kārtējā gadā, salīdzinot ar budžetu kārtējam gadam</w:t>
            </w:r>
          </w:p>
        </w:tc>
        <w:tc>
          <w:tcPr>
            <w:tcW w:w="1275" w:type="dxa"/>
            <w:tcBorders>
              <w:top w:val="single" w:sz="4" w:space="0" w:color="auto"/>
              <w:left w:val="single" w:sz="4" w:space="0" w:color="auto"/>
              <w:bottom w:val="single" w:sz="4" w:space="0" w:color="auto"/>
              <w:right w:val="single" w:sz="4" w:space="0" w:color="auto"/>
            </w:tcBorders>
            <w:vAlign w:val="center"/>
            <w:hideMark/>
          </w:tcPr>
          <w:p w:rsidR="00F84CD4" w:rsidRDefault="00F84CD4">
            <w:pPr>
              <w:pStyle w:val="tvhtml1"/>
              <w:spacing w:before="0" w:beforeAutospacing="0" w:line="240" w:lineRule="auto"/>
              <w:jc w:val="center"/>
              <w:rPr>
                <w:rFonts w:ascii="Times New Roman" w:hAnsi="Times New Roman"/>
                <w:sz w:val="24"/>
                <w:szCs w:val="24"/>
              </w:rPr>
            </w:pPr>
            <w:r>
              <w:rPr>
                <w:rFonts w:ascii="Times New Roman" w:hAnsi="Times New Roman"/>
                <w:sz w:val="24"/>
                <w:szCs w:val="24"/>
              </w:rPr>
              <w:t>Izmaiņas, salīdzinot ar kārtējo (n) gadu</w:t>
            </w:r>
          </w:p>
        </w:tc>
        <w:tc>
          <w:tcPr>
            <w:tcW w:w="1225" w:type="dxa"/>
            <w:tcBorders>
              <w:top w:val="single" w:sz="4" w:space="0" w:color="auto"/>
              <w:left w:val="single" w:sz="4" w:space="0" w:color="auto"/>
              <w:bottom w:val="single" w:sz="4" w:space="0" w:color="auto"/>
              <w:right w:val="single" w:sz="4" w:space="0" w:color="auto"/>
            </w:tcBorders>
            <w:vAlign w:val="center"/>
            <w:hideMark/>
          </w:tcPr>
          <w:p w:rsidR="00F84CD4" w:rsidRDefault="00F84CD4">
            <w:pPr>
              <w:pStyle w:val="tvhtml1"/>
              <w:spacing w:before="0" w:beforeAutospacing="0" w:line="240" w:lineRule="auto"/>
              <w:jc w:val="center"/>
              <w:rPr>
                <w:rFonts w:ascii="Times New Roman" w:hAnsi="Times New Roman"/>
                <w:sz w:val="24"/>
                <w:szCs w:val="24"/>
              </w:rPr>
            </w:pPr>
            <w:r>
              <w:rPr>
                <w:rFonts w:ascii="Times New Roman" w:hAnsi="Times New Roman"/>
                <w:sz w:val="24"/>
                <w:szCs w:val="24"/>
              </w:rPr>
              <w:t>Izmaiņas, salīdzinot ar kārtējo (n) gadu</w:t>
            </w:r>
          </w:p>
        </w:tc>
        <w:tc>
          <w:tcPr>
            <w:tcW w:w="1150" w:type="dxa"/>
            <w:tcBorders>
              <w:top w:val="single" w:sz="4" w:space="0" w:color="auto"/>
              <w:left w:val="single" w:sz="4" w:space="0" w:color="auto"/>
              <w:bottom w:val="single" w:sz="4" w:space="0" w:color="auto"/>
              <w:right w:val="single" w:sz="4" w:space="0" w:color="auto"/>
            </w:tcBorders>
            <w:vAlign w:val="center"/>
            <w:hideMark/>
          </w:tcPr>
          <w:p w:rsidR="00F84CD4" w:rsidRDefault="00F84CD4">
            <w:pPr>
              <w:pStyle w:val="tvhtml1"/>
              <w:spacing w:before="0" w:beforeAutospacing="0" w:line="240" w:lineRule="auto"/>
              <w:jc w:val="center"/>
              <w:rPr>
                <w:rFonts w:ascii="Times New Roman" w:hAnsi="Times New Roman"/>
                <w:sz w:val="24"/>
                <w:szCs w:val="24"/>
              </w:rPr>
            </w:pPr>
            <w:r>
              <w:rPr>
                <w:rFonts w:ascii="Times New Roman" w:hAnsi="Times New Roman"/>
                <w:sz w:val="24"/>
                <w:szCs w:val="24"/>
              </w:rPr>
              <w:t>Izmaiņas, salīdzinot ar kārtējo (n) gadu</w:t>
            </w:r>
          </w:p>
        </w:tc>
      </w:tr>
      <w:tr w:rsidR="00F84CD4" w:rsidTr="00F84CD4">
        <w:tc>
          <w:tcPr>
            <w:tcW w:w="3085" w:type="dxa"/>
            <w:tcBorders>
              <w:top w:val="single" w:sz="4" w:space="0" w:color="auto"/>
              <w:left w:val="single" w:sz="4" w:space="0" w:color="auto"/>
              <w:bottom w:val="single" w:sz="4" w:space="0" w:color="auto"/>
              <w:right w:val="single" w:sz="4" w:space="0" w:color="auto"/>
            </w:tcBorders>
            <w:vAlign w:val="center"/>
            <w:hideMark/>
          </w:tcPr>
          <w:p w:rsidR="00F84CD4" w:rsidRDefault="00F84CD4">
            <w:pPr>
              <w:pStyle w:val="tvhtml1"/>
              <w:spacing w:before="0" w:beforeAutospacing="0" w:line="240" w:lineRule="auto"/>
              <w:jc w:val="center"/>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4CD4" w:rsidRDefault="00F84CD4">
            <w:pPr>
              <w:pStyle w:val="tvhtml1"/>
              <w:spacing w:before="0" w:beforeAutospacing="0" w:line="240" w:lineRule="auto"/>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4CD4" w:rsidRDefault="00F84CD4">
            <w:pPr>
              <w:pStyle w:val="tvhtml1"/>
              <w:spacing w:before="0" w:beforeAutospacing="0" w:line="240" w:lineRule="auto"/>
              <w:jc w:val="center"/>
              <w:rPr>
                <w:rFonts w:ascii="Times New Roman" w:hAnsi="Times New Roman"/>
                <w:sz w:val="24"/>
                <w:szCs w:val="24"/>
              </w:rPr>
            </w:pPr>
            <w:r>
              <w:rPr>
                <w:rFonts w:ascii="Times New Roman" w:hAnsi="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F84CD4" w:rsidRDefault="00F84CD4">
            <w:pPr>
              <w:pStyle w:val="tvhtml1"/>
              <w:spacing w:before="0" w:beforeAutospacing="0" w:line="240" w:lineRule="auto"/>
              <w:jc w:val="center"/>
              <w:rPr>
                <w:rFonts w:ascii="Times New Roman" w:hAnsi="Times New Roman"/>
                <w:sz w:val="24"/>
                <w:szCs w:val="24"/>
              </w:rPr>
            </w:pPr>
            <w:r>
              <w:rPr>
                <w:rFonts w:ascii="Times New Roman" w:hAnsi="Times New Roman"/>
                <w:sz w:val="24"/>
                <w:szCs w:val="24"/>
              </w:rPr>
              <w:t>4</w:t>
            </w:r>
          </w:p>
        </w:tc>
        <w:tc>
          <w:tcPr>
            <w:tcW w:w="1225" w:type="dxa"/>
            <w:tcBorders>
              <w:top w:val="single" w:sz="4" w:space="0" w:color="auto"/>
              <w:left w:val="single" w:sz="4" w:space="0" w:color="auto"/>
              <w:bottom w:val="single" w:sz="4" w:space="0" w:color="auto"/>
              <w:right w:val="single" w:sz="4" w:space="0" w:color="auto"/>
            </w:tcBorders>
            <w:vAlign w:val="center"/>
            <w:hideMark/>
          </w:tcPr>
          <w:p w:rsidR="00F84CD4" w:rsidRDefault="00F84CD4">
            <w:pPr>
              <w:pStyle w:val="tvhtml1"/>
              <w:spacing w:before="0" w:beforeAutospacing="0" w:line="240" w:lineRule="auto"/>
              <w:jc w:val="center"/>
              <w:rPr>
                <w:rFonts w:ascii="Times New Roman" w:hAnsi="Times New Roman"/>
                <w:sz w:val="24"/>
                <w:szCs w:val="24"/>
              </w:rPr>
            </w:pPr>
            <w:r>
              <w:rPr>
                <w:rFonts w:ascii="Times New Roman" w:hAnsi="Times New Roman"/>
                <w:sz w:val="24"/>
                <w:szCs w:val="24"/>
              </w:rPr>
              <w:t>5</w:t>
            </w:r>
          </w:p>
        </w:tc>
        <w:tc>
          <w:tcPr>
            <w:tcW w:w="1150" w:type="dxa"/>
            <w:tcBorders>
              <w:top w:val="single" w:sz="4" w:space="0" w:color="auto"/>
              <w:left w:val="single" w:sz="4" w:space="0" w:color="auto"/>
              <w:bottom w:val="single" w:sz="4" w:space="0" w:color="auto"/>
              <w:right w:val="single" w:sz="4" w:space="0" w:color="auto"/>
            </w:tcBorders>
            <w:vAlign w:val="center"/>
            <w:hideMark/>
          </w:tcPr>
          <w:p w:rsidR="00F84CD4" w:rsidRDefault="00F84CD4">
            <w:pPr>
              <w:pStyle w:val="tvhtml1"/>
              <w:spacing w:before="0" w:beforeAutospacing="0" w:line="240" w:lineRule="auto"/>
              <w:jc w:val="center"/>
              <w:rPr>
                <w:rFonts w:ascii="Times New Roman" w:hAnsi="Times New Roman"/>
                <w:sz w:val="24"/>
                <w:szCs w:val="24"/>
              </w:rPr>
            </w:pPr>
            <w:r>
              <w:rPr>
                <w:rFonts w:ascii="Times New Roman" w:hAnsi="Times New Roman"/>
                <w:sz w:val="24"/>
                <w:szCs w:val="24"/>
              </w:rPr>
              <w:t>6</w:t>
            </w:r>
          </w:p>
        </w:tc>
      </w:tr>
      <w:tr w:rsidR="00F84CD4" w:rsidTr="00F84CD4">
        <w:tc>
          <w:tcPr>
            <w:tcW w:w="3085" w:type="dxa"/>
            <w:tcBorders>
              <w:top w:val="single" w:sz="4" w:space="0" w:color="auto"/>
              <w:left w:val="single" w:sz="4" w:space="0" w:color="auto"/>
              <w:bottom w:val="single" w:sz="4" w:space="0" w:color="auto"/>
              <w:right w:val="single" w:sz="4" w:space="0" w:color="auto"/>
            </w:tcBorders>
            <w:vAlign w:val="center"/>
            <w:hideMark/>
          </w:tcPr>
          <w:p w:rsidR="00F84CD4" w:rsidRDefault="00F84CD4">
            <w:pPr>
              <w:pStyle w:val="tvhtml1"/>
              <w:spacing w:before="0" w:beforeAutospacing="0" w:line="240" w:lineRule="auto"/>
              <w:jc w:val="center"/>
              <w:rPr>
                <w:rFonts w:ascii="Times New Roman" w:hAnsi="Times New Roman"/>
                <w:sz w:val="24"/>
                <w:szCs w:val="24"/>
              </w:rPr>
            </w:pPr>
            <w:r>
              <w:rPr>
                <w:rFonts w:ascii="Times New Roman" w:hAnsi="Times New Roman"/>
                <w:sz w:val="24"/>
                <w:szCs w:val="24"/>
              </w:rPr>
              <w:t>1. Budžeta ieņēmumi:</w:t>
            </w:r>
          </w:p>
        </w:tc>
        <w:tc>
          <w:tcPr>
            <w:tcW w:w="1276"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c>
          <w:tcPr>
            <w:tcW w:w="1150"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r>
      <w:tr w:rsidR="00F84CD4" w:rsidTr="00F84CD4">
        <w:tc>
          <w:tcPr>
            <w:tcW w:w="3085" w:type="dxa"/>
            <w:tcBorders>
              <w:top w:val="single" w:sz="4" w:space="0" w:color="auto"/>
              <w:left w:val="single" w:sz="4" w:space="0" w:color="auto"/>
              <w:bottom w:val="single" w:sz="4" w:space="0" w:color="auto"/>
              <w:right w:val="single" w:sz="4" w:space="0" w:color="auto"/>
            </w:tcBorders>
            <w:vAlign w:val="center"/>
            <w:hideMark/>
          </w:tcPr>
          <w:p w:rsidR="00F84CD4" w:rsidRDefault="00F84CD4">
            <w:pPr>
              <w:pStyle w:val="tvhtml1"/>
              <w:spacing w:before="0" w:beforeAutospacing="0" w:line="240" w:lineRule="auto"/>
              <w:jc w:val="center"/>
              <w:rPr>
                <w:rFonts w:ascii="Times New Roman" w:hAnsi="Times New Roman"/>
                <w:sz w:val="24"/>
                <w:szCs w:val="24"/>
              </w:rPr>
            </w:pPr>
            <w:r>
              <w:rPr>
                <w:rFonts w:ascii="Times New Roman" w:hAnsi="Times New Roman"/>
                <w:sz w:val="24"/>
                <w:szCs w:val="24"/>
              </w:rPr>
              <w:t>1.1. valsts pamatbudžets, tai skaitā ieņēmumi no maksas pakalpojumiem un citi pašu ieņēmumi</w:t>
            </w:r>
          </w:p>
        </w:tc>
        <w:tc>
          <w:tcPr>
            <w:tcW w:w="1276"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c>
          <w:tcPr>
            <w:tcW w:w="1150"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r>
      <w:tr w:rsidR="00F84CD4" w:rsidTr="00F84CD4">
        <w:tc>
          <w:tcPr>
            <w:tcW w:w="3085" w:type="dxa"/>
            <w:tcBorders>
              <w:top w:val="single" w:sz="4" w:space="0" w:color="auto"/>
              <w:left w:val="single" w:sz="4" w:space="0" w:color="auto"/>
              <w:bottom w:val="single" w:sz="4" w:space="0" w:color="auto"/>
              <w:right w:val="single" w:sz="4" w:space="0" w:color="auto"/>
            </w:tcBorders>
            <w:vAlign w:val="center"/>
            <w:hideMark/>
          </w:tcPr>
          <w:p w:rsidR="00F84CD4" w:rsidRDefault="00F84CD4">
            <w:pPr>
              <w:pStyle w:val="tvhtml1"/>
              <w:spacing w:before="0" w:beforeAutospacing="0" w:line="240" w:lineRule="auto"/>
              <w:jc w:val="center"/>
              <w:rPr>
                <w:rFonts w:ascii="Times New Roman" w:hAnsi="Times New Roman"/>
                <w:sz w:val="24"/>
                <w:szCs w:val="24"/>
              </w:rPr>
            </w:pPr>
            <w:r>
              <w:rPr>
                <w:rFonts w:ascii="Times New Roman" w:hAnsi="Times New Roman"/>
                <w:sz w:val="24"/>
                <w:szCs w:val="24"/>
              </w:rPr>
              <w:t>1.2. valsts speciālais budžets</w:t>
            </w:r>
          </w:p>
        </w:tc>
        <w:tc>
          <w:tcPr>
            <w:tcW w:w="1276"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c>
          <w:tcPr>
            <w:tcW w:w="1150"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r>
      <w:tr w:rsidR="00F84CD4" w:rsidTr="00F84CD4">
        <w:tc>
          <w:tcPr>
            <w:tcW w:w="3085" w:type="dxa"/>
            <w:tcBorders>
              <w:top w:val="single" w:sz="4" w:space="0" w:color="auto"/>
              <w:left w:val="single" w:sz="4" w:space="0" w:color="auto"/>
              <w:bottom w:val="single" w:sz="4" w:space="0" w:color="auto"/>
              <w:right w:val="single" w:sz="4" w:space="0" w:color="auto"/>
            </w:tcBorders>
            <w:vAlign w:val="center"/>
            <w:hideMark/>
          </w:tcPr>
          <w:p w:rsidR="00F84CD4" w:rsidRDefault="00F84CD4">
            <w:pPr>
              <w:pStyle w:val="tvhtml1"/>
              <w:spacing w:before="0" w:beforeAutospacing="0" w:line="240" w:lineRule="auto"/>
              <w:jc w:val="center"/>
              <w:rPr>
                <w:rFonts w:ascii="Times New Roman" w:hAnsi="Times New Roman"/>
                <w:sz w:val="24"/>
                <w:szCs w:val="24"/>
              </w:rPr>
            </w:pPr>
            <w:r>
              <w:rPr>
                <w:rFonts w:ascii="Times New Roman" w:hAnsi="Times New Roman"/>
                <w:sz w:val="24"/>
                <w:szCs w:val="24"/>
              </w:rPr>
              <w:t>1.3. pašvaldību budžets</w:t>
            </w:r>
          </w:p>
        </w:tc>
        <w:tc>
          <w:tcPr>
            <w:tcW w:w="1276"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c>
          <w:tcPr>
            <w:tcW w:w="1150"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r>
      <w:tr w:rsidR="00F84CD4" w:rsidTr="00F84CD4">
        <w:tc>
          <w:tcPr>
            <w:tcW w:w="3085" w:type="dxa"/>
            <w:tcBorders>
              <w:top w:val="single" w:sz="4" w:space="0" w:color="auto"/>
              <w:left w:val="single" w:sz="4" w:space="0" w:color="auto"/>
              <w:bottom w:val="single" w:sz="4" w:space="0" w:color="auto"/>
              <w:right w:val="single" w:sz="4" w:space="0" w:color="auto"/>
            </w:tcBorders>
            <w:vAlign w:val="center"/>
            <w:hideMark/>
          </w:tcPr>
          <w:p w:rsidR="00F84CD4" w:rsidRDefault="00F84CD4">
            <w:pPr>
              <w:pStyle w:val="tvhtml1"/>
              <w:spacing w:before="0" w:beforeAutospacing="0" w:line="240" w:lineRule="auto"/>
              <w:jc w:val="center"/>
              <w:rPr>
                <w:rFonts w:ascii="Times New Roman" w:hAnsi="Times New Roman"/>
                <w:sz w:val="24"/>
                <w:szCs w:val="24"/>
              </w:rPr>
            </w:pPr>
            <w:r>
              <w:rPr>
                <w:rFonts w:ascii="Times New Roman" w:hAnsi="Times New Roman"/>
                <w:sz w:val="24"/>
                <w:szCs w:val="24"/>
              </w:rPr>
              <w:t>2. Budžeta izdevumi:</w:t>
            </w:r>
          </w:p>
        </w:tc>
        <w:tc>
          <w:tcPr>
            <w:tcW w:w="1276"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c>
          <w:tcPr>
            <w:tcW w:w="1150"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r>
      <w:tr w:rsidR="00F84CD4" w:rsidTr="00F84CD4">
        <w:tc>
          <w:tcPr>
            <w:tcW w:w="3085" w:type="dxa"/>
            <w:tcBorders>
              <w:top w:val="single" w:sz="4" w:space="0" w:color="auto"/>
              <w:left w:val="single" w:sz="4" w:space="0" w:color="auto"/>
              <w:bottom w:val="single" w:sz="4" w:space="0" w:color="auto"/>
              <w:right w:val="single" w:sz="4" w:space="0" w:color="auto"/>
            </w:tcBorders>
            <w:vAlign w:val="center"/>
            <w:hideMark/>
          </w:tcPr>
          <w:p w:rsidR="00F84CD4" w:rsidRDefault="00F84CD4">
            <w:pPr>
              <w:pStyle w:val="tvhtml1"/>
              <w:spacing w:before="0" w:beforeAutospacing="0" w:line="240" w:lineRule="auto"/>
              <w:jc w:val="center"/>
              <w:rPr>
                <w:rFonts w:ascii="Times New Roman" w:hAnsi="Times New Roman"/>
                <w:sz w:val="24"/>
                <w:szCs w:val="24"/>
              </w:rPr>
            </w:pPr>
            <w:r>
              <w:rPr>
                <w:rFonts w:ascii="Times New Roman" w:hAnsi="Times New Roman"/>
                <w:sz w:val="24"/>
                <w:szCs w:val="24"/>
              </w:rPr>
              <w:t>2.1. valsts pamatbudžets</w:t>
            </w:r>
          </w:p>
        </w:tc>
        <w:tc>
          <w:tcPr>
            <w:tcW w:w="1276"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c>
          <w:tcPr>
            <w:tcW w:w="1150"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r>
      <w:tr w:rsidR="00F84CD4" w:rsidTr="00F84CD4">
        <w:tc>
          <w:tcPr>
            <w:tcW w:w="3085" w:type="dxa"/>
            <w:tcBorders>
              <w:top w:val="single" w:sz="4" w:space="0" w:color="auto"/>
              <w:left w:val="single" w:sz="4" w:space="0" w:color="auto"/>
              <w:bottom w:val="single" w:sz="4" w:space="0" w:color="auto"/>
              <w:right w:val="single" w:sz="4" w:space="0" w:color="auto"/>
            </w:tcBorders>
            <w:vAlign w:val="center"/>
            <w:hideMark/>
          </w:tcPr>
          <w:p w:rsidR="00F84CD4" w:rsidRDefault="00F84CD4">
            <w:pPr>
              <w:pStyle w:val="tvhtml1"/>
              <w:spacing w:before="0" w:beforeAutospacing="0" w:line="240" w:lineRule="auto"/>
              <w:jc w:val="center"/>
              <w:rPr>
                <w:rFonts w:ascii="Times New Roman" w:hAnsi="Times New Roman"/>
                <w:sz w:val="24"/>
                <w:szCs w:val="24"/>
              </w:rPr>
            </w:pPr>
            <w:r>
              <w:rPr>
                <w:rFonts w:ascii="Times New Roman" w:hAnsi="Times New Roman"/>
                <w:sz w:val="24"/>
                <w:szCs w:val="24"/>
              </w:rPr>
              <w:t>2.2. valsts speciālais budžets</w:t>
            </w:r>
          </w:p>
        </w:tc>
        <w:tc>
          <w:tcPr>
            <w:tcW w:w="1276"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c>
          <w:tcPr>
            <w:tcW w:w="1150"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r>
      <w:tr w:rsidR="00F84CD4" w:rsidTr="00F84CD4">
        <w:tc>
          <w:tcPr>
            <w:tcW w:w="3085" w:type="dxa"/>
            <w:tcBorders>
              <w:top w:val="single" w:sz="4" w:space="0" w:color="auto"/>
              <w:left w:val="single" w:sz="4" w:space="0" w:color="auto"/>
              <w:bottom w:val="single" w:sz="4" w:space="0" w:color="auto"/>
              <w:right w:val="single" w:sz="4" w:space="0" w:color="auto"/>
            </w:tcBorders>
            <w:vAlign w:val="center"/>
            <w:hideMark/>
          </w:tcPr>
          <w:p w:rsidR="00F84CD4" w:rsidRDefault="00F84CD4">
            <w:pPr>
              <w:pStyle w:val="tvhtml1"/>
              <w:spacing w:before="0" w:beforeAutospacing="0" w:line="240" w:lineRule="auto"/>
              <w:jc w:val="center"/>
              <w:rPr>
                <w:rFonts w:ascii="Times New Roman" w:hAnsi="Times New Roman"/>
                <w:sz w:val="24"/>
                <w:szCs w:val="24"/>
              </w:rPr>
            </w:pPr>
            <w:r>
              <w:rPr>
                <w:rFonts w:ascii="Times New Roman" w:hAnsi="Times New Roman"/>
                <w:sz w:val="24"/>
                <w:szCs w:val="24"/>
              </w:rPr>
              <w:t>2.3. pašvaldību budžets</w:t>
            </w:r>
          </w:p>
        </w:tc>
        <w:tc>
          <w:tcPr>
            <w:tcW w:w="1276"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c>
          <w:tcPr>
            <w:tcW w:w="1150"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r>
      <w:tr w:rsidR="00F84CD4" w:rsidTr="00F84CD4">
        <w:tc>
          <w:tcPr>
            <w:tcW w:w="3085" w:type="dxa"/>
            <w:tcBorders>
              <w:top w:val="single" w:sz="4" w:space="0" w:color="auto"/>
              <w:left w:val="single" w:sz="4" w:space="0" w:color="auto"/>
              <w:bottom w:val="single" w:sz="4" w:space="0" w:color="auto"/>
              <w:right w:val="single" w:sz="4" w:space="0" w:color="auto"/>
            </w:tcBorders>
            <w:vAlign w:val="center"/>
            <w:hideMark/>
          </w:tcPr>
          <w:p w:rsidR="00F84CD4" w:rsidRDefault="00F84CD4">
            <w:pPr>
              <w:pStyle w:val="tvhtml1"/>
              <w:spacing w:before="0" w:beforeAutospacing="0" w:line="240" w:lineRule="auto"/>
              <w:jc w:val="center"/>
              <w:rPr>
                <w:rFonts w:ascii="Times New Roman" w:hAnsi="Times New Roman"/>
                <w:sz w:val="24"/>
                <w:szCs w:val="24"/>
              </w:rPr>
            </w:pPr>
            <w:r>
              <w:rPr>
                <w:rFonts w:ascii="Times New Roman" w:hAnsi="Times New Roman"/>
                <w:sz w:val="24"/>
                <w:szCs w:val="24"/>
              </w:rPr>
              <w:t>3. Finansiālā ietekme:</w:t>
            </w:r>
          </w:p>
        </w:tc>
        <w:tc>
          <w:tcPr>
            <w:tcW w:w="1276"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c>
          <w:tcPr>
            <w:tcW w:w="1150"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r>
      <w:tr w:rsidR="00F84CD4" w:rsidTr="00F84CD4">
        <w:tc>
          <w:tcPr>
            <w:tcW w:w="3085" w:type="dxa"/>
            <w:vMerge w:val="restart"/>
            <w:tcBorders>
              <w:top w:val="single" w:sz="4" w:space="0" w:color="auto"/>
              <w:left w:val="single" w:sz="4" w:space="0" w:color="auto"/>
              <w:bottom w:val="single" w:sz="4" w:space="0" w:color="auto"/>
              <w:right w:val="single" w:sz="4" w:space="0" w:color="auto"/>
            </w:tcBorders>
            <w:vAlign w:val="center"/>
          </w:tcPr>
          <w:p w:rsidR="00F84CD4" w:rsidRDefault="00F84CD4">
            <w:pPr>
              <w:pStyle w:val="tvhtml1"/>
              <w:spacing w:before="0" w:beforeAutospacing="0" w:line="240" w:lineRule="auto"/>
              <w:jc w:val="center"/>
              <w:rPr>
                <w:rFonts w:ascii="Times New Roman" w:hAnsi="Times New Roman"/>
                <w:sz w:val="24"/>
                <w:szCs w:val="24"/>
              </w:rPr>
            </w:pPr>
            <w:r>
              <w:rPr>
                <w:rFonts w:ascii="Times New Roman" w:hAnsi="Times New Roman"/>
                <w:sz w:val="24"/>
                <w:szCs w:val="24"/>
              </w:rPr>
              <w:t>4. Finanšu līdzekļi papildu izde</w:t>
            </w:r>
            <w:r>
              <w:rPr>
                <w:rFonts w:ascii="Times New Roman" w:hAnsi="Times New Roman"/>
                <w:sz w:val="24"/>
                <w:szCs w:val="24"/>
              </w:rPr>
              <w:softHyphen/>
              <w:t>vumu finansēšanai (kompensējošu izdevumu samazinājumu norāda ar "+" zīmi)</w:t>
            </w:r>
          </w:p>
          <w:p w:rsidR="00F84CD4" w:rsidRDefault="00F84CD4">
            <w:pPr>
              <w:pStyle w:val="tvhtml"/>
              <w:spacing w:before="0" w:beforeAutospacing="0" w:after="0" w:afterAutospacing="0"/>
              <w:jc w:val="center"/>
              <w:rPr>
                <w:rFonts w:ascii="Times New Roman" w:hAnsi="Times New Roman"/>
                <w:iCs/>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c>
          <w:tcPr>
            <w:tcW w:w="1150"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r>
      <w:tr w:rsidR="00F84CD4" w:rsidTr="00F84CD4">
        <w:tc>
          <w:tcPr>
            <w:tcW w:w="0" w:type="auto"/>
            <w:vMerge/>
            <w:tcBorders>
              <w:top w:val="single" w:sz="4" w:space="0" w:color="auto"/>
              <w:left w:val="single" w:sz="4" w:space="0" w:color="auto"/>
              <w:bottom w:val="single" w:sz="4" w:space="0" w:color="auto"/>
              <w:right w:val="single" w:sz="4" w:space="0" w:color="auto"/>
            </w:tcBorders>
            <w:vAlign w:val="center"/>
            <w:hideMark/>
          </w:tcPr>
          <w:p w:rsidR="00F84CD4" w:rsidRDefault="00F84CD4">
            <w:pPr>
              <w:spacing w:after="0" w:line="240" w:lineRule="auto"/>
              <w:rPr>
                <w:rFonts w:ascii="Times New Roman" w:eastAsia="Times New Roman" w:hAnsi="Times New Roman"/>
                <w:iCs/>
                <w:sz w:val="24"/>
                <w:szCs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CD4" w:rsidRDefault="00F84CD4">
            <w:pPr>
              <w:spacing w:after="0" w:line="240" w:lineRule="auto"/>
              <w:rPr>
                <w:rFonts w:ascii="Times New Roman" w:eastAsia="Times New Roman" w:hAnsi="Times New Roman"/>
                <w:iCs/>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c>
          <w:tcPr>
            <w:tcW w:w="1150"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r>
      <w:tr w:rsidR="00F84CD4" w:rsidTr="00F84CD4">
        <w:tc>
          <w:tcPr>
            <w:tcW w:w="0" w:type="auto"/>
            <w:vMerge/>
            <w:tcBorders>
              <w:top w:val="single" w:sz="4" w:space="0" w:color="auto"/>
              <w:left w:val="single" w:sz="4" w:space="0" w:color="auto"/>
              <w:bottom w:val="single" w:sz="4" w:space="0" w:color="auto"/>
              <w:right w:val="single" w:sz="4" w:space="0" w:color="auto"/>
            </w:tcBorders>
            <w:vAlign w:val="center"/>
            <w:hideMark/>
          </w:tcPr>
          <w:p w:rsidR="00F84CD4" w:rsidRDefault="00F84CD4">
            <w:pPr>
              <w:spacing w:after="0" w:line="240" w:lineRule="auto"/>
              <w:rPr>
                <w:rFonts w:ascii="Times New Roman" w:eastAsia="Times New Roman" w:hAnsi="Times New Roman"/>
                <w:iCs/>
                <w:sz w:val="24"/>
                <w:szCs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CD4" w:rsidRDefault="00F84CD4">
            <w:pPr>
              <w:spacing w:after="0" w:line="240" w:lineRule="auto"/>
              <w:rPr>
                <w:rFonts w:ascii="Times New Roman" w:eastAsia="Times New Roman" w:hAnsi="Times New Roman"/>
                <w:iCs/>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c>
          <w:tcPr>
            <w:tcW w:w="1150"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r>
      <w:tr w:rsidR="00F84CD4" w:rsidTr="00F84CD4">
        <w:tc>
          <w:tcPr>
            <w:tcW w:w="3085" w:type="dxa"/>
            <w:tcBorders>
              <w:top w:val="single" w:sz="4" w:space="0" w:color="auto"/>
              <w:left w:val="single" w:sz="4" w:space="0" w:color="auto"/>
              <w:bottom w:val="single" w:sz="4" w:space="0" w:color="auto"/>
              <w:right w:val="single" w:sz="4" w:space="0" w:color="auto"/>
            </w:tcBorders>
            <w:vAlign w:val="center"/>
            <w:hideMark/>
          </w:tcPr>
          <w:p w:rsidR="00F84CD4" w:rsidRDefault="00F84CD4">
            <w:pPr>
              <w:pStyle w:val="tvhtml1"/>
              <w:spacing w:before="0" w:beforeAutospacing="0" w:line="240" w:lineRule="auto"/>
              <w:jc w:val="center"/>
              <w:rPr>
                <w:rFonts w:ascii="Times New Roman" w:hAnsi="Times New Roman"/>
                <w:sz w:val="24"/>
                <w:szCs w:val="24"/>
              </w:rPr>
            </w:pPr>
            <w:r>
              <w:rPr>
                <w:rFonts w:ascii="Times New Roman" w:hAnsi="Times New Roman"/>
                <w:sz w:val="24"/>
                <w:szCs w:val="24"/>
              </w:rPr>
              <w:t>5. Precizēta finansiālā ietekme:</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c>
          <w:tcPr>
            <w:tcW w:w="1150"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r>
      <w:tr w:rsidR="00F84CD4" w:rsidTr="00F84CD4">
        <w:tc>
          <w:tcPr>
            <w:tcW w:w="3085" w:type="dxa"/>
            <w:tcBorders>
              <w:top w:val="single" w:sz="4" w:space="0" w:color="auto"/>
              <w:left w:val="single" w:sz="4" w:space="0" w:color="auto"/>
              <w:bottom w:val="single" w:sz="4" w:space="0" w:color="auto"/>
              <w:right w:val="single" w:sz="4" w:space="0" w:color="auto"/>
            </w:tcBorders>
            <w:vAlign w:val="center"/>
            <w:hideMark/>
          </w:tcPr>
          <w:p w:rsidR="00F84CD4" w:rsidRDefault="00F84CD4">
            <w:pPr>
              <w:pStyle w:val="tvhtml1"/>
              <w:spacing w:before="0" w:beforeAutospacing="0" w:line="240" w:lineRule="auto"/>
              <w:jc w:val="center"/>
              <w:rPr>
                <w:rFonts w:ascii="Times New Roman" w:hAnsi="Times New Roman"/>
                <w:sz w:val="24"/>
                <w:szCs w:val="24"/>
              </w:rPr>
            </w:pPr>
            <w:r>
              <w:rPr>
                <w:rFonts w:ascii="Times New Roman" w:hAnsi="Times New Roman"/>
                <w:sz w:val="24"/>
                <w:szCs w:val="24"/>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CD4" w:rsidRDefault="00F84CD4">
            <w:pPr>
              <w:spacing w:after="0" w:line="240" w:lineRule="auto"/>
              <w:rPr>
                <w:rFonts w:ascii="Times New Roman" w:eastAsia="Times New Roman" w:hAnsi="Times New Roman"/>
                <w:iCs/>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c>
          <w:tcPr>
            <w:tcW w:w="1150"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r>
      <w:tr w:rsidR="00F84CD4" w:rsidTr="00F84CD4">
        <w:tc>
          <w:tcPr>
            <w:tcW w:w="3085" w:type="dxa"/>
            <w:tcBorders>
              <w:top w:val="single" w:sz="4" w:space="0" w:color="auto"/>
              <w:left w:val="single" w:sz="4" w:space="0" w:color="auto"/>
              <w:bottom w:val="single" w:sz="4" w:space="0" w:color="auto"/>
              <w:right w:val="single" w:sz="4" w:space="0" w:color="auto"/>
            </w:tcBorders>
            <w:vAlign w:val="center"/>
            <w:hideMark/>
          </w:tcPr>
          <w:p w:rsidR="00F84CD4" w:rsidRDefault="00F84CD4">
            <w:pPr>
              <w:pStyle w:val="tvhtml1"/>
              <w:spacing w:before="0" w:beforeAutospacing="0" w:line="240" w:lineRule="auto"/>
              <w:jc w:val="center"/>
              <w:rPr>
                <w:rFonts w:ascii="Times New Roman" w:hAnsi="Times New Roman"/>
                <w:sz w:val="24"/>
                <w:szCs w:val="24"/>
              </w:rPr>
            </w:pPr>
            <w:r>
              <w:rPr>
                <w:rFonts w:ascii="Times New Roman" w:hAnsi="Times New Roman"/>
                <w:sz w:val="24"/>
                <w:szCs w:val="24"/>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CD4" w:rsidRDefault="00F84CD4">
            <w:pPr>
              <w:spacing w:after="0" w:line="240" w:lineRule="auto"/>
              <w:rPr>
                <w:rFonts w:ascii="Times New Roman" w:eastAsia="Times New Roman" w:hAnsi="Times New Roman"/>
                <w:iCs/>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c>
          <w:tcPr>
            <w:tcW w:w="1150"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r>
      <w:tr w:rsidR="00F84CD4" w:rsidTr="00F84CD4">
        <w:tc>
          <w:tcPr>
            <w:tcW w:w="3085" w:type="dxa"/>
            <w:tcBorders>
              <w:top w:val="single" w:sz="4" w:space="0" w:color="auto"/>
              <w:left w:val="single" w:sz="4" w:space="0" w:color="auto"/>
              <w:bottom w:val="single" w:sz="4" w:space="0" w:color="auto"/>
              <w:right w:val="single" w:sz="4" w:space="0" w:color="auto"/>
            </w:tcBorders>
            <w:vAlign w:val="center"/>
            <w:hideMark/>
          </w:tcPr>
          <w:p w:rsidR="00F84CD4" w:rsidRDefault="00F84CD4">
            <w:pPr>
              <w:pStyle w:val="tvhtml1"/>
              <w:spacing w:before="0" w:beforeAutospacing="0" w:line="240" w:lineRule="auto"/>
              <w:jc w:val="center"/>
              <w:rPr>
                <w:rFonts w:ascii="Times New Roman" w:hAnsi="Times New Roman"/>
                <w:sz w:val="24"/>
                <w:szCs w:val="24"/>
              </w:rPr>
            </w:pPr>
            <w:r>
              <w:rPr>
                <w:rFonts w:ascii="Times New Roman" w:hAnsi="Times New Roman"/>
                <w:sz w:val="24"/>
                <w:szCs w:val="24"/>
              </w:rPr>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4CD4" w:rsidRDefault="00F84CD4">
            <w:pPr>
              <w:spacing w:after="0" w:line="240" w:lineRule="auto"/>
              <w:rPr>
                <w:rFonts w:ascii="Times New Roman" w:eastAsia="Times New Roman" w:hAnsi="Times New Roman"/>
                <w:iCs/>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c>
          <w:tcPr>
            <w:tcW w:w="1225"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c>
          <w:tcPr>
            <w:tcW w:w="1150" w:type="dxa"/>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r>
      <w:tr w:rsidR="00F84CD4" w:rsidTr="00F84CD4">
        <w:tc>
          <w:tcPr>
            <w:tcW w:w="3085" w:type="dxa"/>
            <w:tcBorders>
              <w:top w:val="single" w:sz="4" w:space="0" w:color="auto"/>
              <w:left w:val="single" w:sz="4" w:space="0" w:color="auto"/>
              <w:bottom w:val="single" w:sz="4" w:space="0" w:color="auto"/>
              <w:right w:val="single" w:sz="4" w:space="0" w:color="auto"/>
            </w:tcBorders>
            <w:vAlign w:val="center"/>
            <w:hideMark/>
          </w:tcPr>
          <w:p w:rsidR="00F84CD4" w:rsidRDefault="00F84CD4">
            <w:pPr>
              <w:pStyle w:val="tvhtml1"/>
              <w:spacing w:before="0" w:beforeAutospacing="0" w:line="240" w:lineRule="auto"/>
              <w:jc w:val="center"/>
              <w:rPr>
                <w:rFonts w:ascii="Times New Roman" w:hAnsi="Times New Roman"/>
                <w:sz w:val="24"/>
                <w:szCs w:val="24"/>
              </w:rPr>
            </w:pPr>
            <w:r>
              <w:rPr>
                <w:rFonts w:ascii="Times New Roman" w:hAnsi="Times New Roman"/>
                <w:sz w:val="24"/>
                <w:szCs w:val="24"/>
              </w:rPr>
              <w:t>6. Detalizēts ieņēmumu un izdevu</w:t>
            </w:r>
            <w:r>
              <w:rPr>
                <w:rFonts w:ascii="Times New Roman" w:hAnsi="Times New Roman"/>
                <w:sz w:val="24"/>
                <w:szCs w:val="24"/>
              </w:rPr>
              <w:softHyphen/>
              <w:t>mu aprēķins (ja nepieciešams, detalizētu ieņēmumu un izdevumu aprēķinu var pievienot anotācijas pielikumā):</w:t>
            </w:r>
          </w:p>
        </w:tc>
        <w:tc>
          <w:tcPr>
            <w:tcW w:w="6202" w:type="dxa"/>
            <w:gridSpan w:val="5"/>
            <w:vMerge w:val="restart"/>
            <w:tcBorders>
              <w:top w:val="single" w:sz="4" w:space="0" w:color="auto"/>
              <w:left w:val="single" w:sz="4" w:space="0" w:color="auto"/>
              <w:bottom w:val="single" w:sz="4" w:space="0" w:color="auto"/>
              <w:right w:val="single" w:sz="4" w:space="0" w:color="auto"/>
            </w:tcBorders>
            <w:vAlign w:val="center"/>
          </w:tcPr>
          <w:p w:rsidR="00F84CD4" w:rsidRDefault="00F84CD4">
            <w:pPr>
              <w:pStyle w:val="tvhtml"/>
              <w:spacing w:before="0" w:beforeAutospacing="0" w:after="0" w:afterAutospacing="0"/>
              <w:jc w:val="center"/>
              <w:rPr>
                <w:rFonts w:ascii="Times New Roman" w:hAnsi="Times New Roman"/>
                <w:iCs/>
                <w:sz w:val="24"/>
                <w:szCs w:val="24"/>
              </w:rPr>
            </w:pPr>
          </w:p>
        </w:tc>
      </w:tr>
      <w:tr w:rsidR="00F84CD4" w:rsidTr="00F84CD4">
        <w:tc>
          <w:tcPr>
            <w:tcW w:w="3085" w:type="dxa"/>
            <w:tcBorders>
              <w:top w:val="single" w:sz="4" w:space="0" w:color="auto"/>
              <w:left w:val="single" w:sz="4" w:space="0" w:color="auto"/>
              <w:bottom w:val="single" w:sz="4" w:space="0" w:color="auto"/>
              <w:right w:val="single" w:sz="4" w:space="0" w:color="auto"/>
            </w:tcBorders>
            <w:vAlign w:val="center"/>
            <w:hideMark/>
          </w:tcPr>
          <w:p w:rsidR="00F84CD4" w:rsidRDefault="00F84CD4">
            <w:pPr>
              <w:pStyle w:val="tvhtml1"/>
              <w:spacing w:before="0" w:beforeAutospacing="0" w:line="240" w:lineRule="auto"/>
              <w:jc w:val="center"/>
              <w:rPr>
                <w:rFonts w:ascii="Times New Roman" w:hAnsi="Times New Roman"/>
                <w:sz w:val="24"/>
                <w:szCs w:val="24"/>
              </w:rPr>
            </w:pPr>
            <w:r>
              <w:rPr>
                <w:rFonts w:ascii="Times New Roman" w:hAnsi="Times New Roman"/>
                <w:sz w:val="24"/>
                <w:szCs w:val="24"/>
              </w:rPr>
              <w:t>6.1. detalizēts ieņēmumu aprēķins</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F84CD4" w:rsidRDefault="00F84CD4">
            <w:pPr>
              <w:spacing w:after="0" w:line="240" w:lineRule="auto"/>
              <w:rPr>
                <w:rFonts w:ascii="Times New Roman" w:eastAsia="Times New Roman" w:hAnsi="Times New Roman"/>
                <w:iCs/>
                <w:sz w:val="24"/>
                <w:szCs w:val="24"/>
                <w:lang w:eastAsia="lv-LV"/>
              </w:rPr>
            </w:pPr>
          </w:p>
        </w:tc>
      </w:tr>
      <w:tr w:rsidR="00F84CD4" w:rsidTr="00F84CD4">
        <w:tc>
          <w:tcPr>
            <w:tcW w:w="3085" w:type="dxa"/>
            <w:tcBorders>
              <w:top w:val="single" w:sz="4" w:space="0" w:color="auto"/>
              <w:left w:val="single" w:sz="4" w:space="0" w:color="auto"/>
              <w:bottom w:val="single" w:sz="4" w:space="0" w:color="auto"/>
              <w:right w:val="single" w:sz="4" w:space="0" w:color="auto"/>
            </w:tcBorders>
            <w:vAlign w:val="center"/>
            <w:hideMark/>
          </w:tcPr>
          <w:p w:rsidR="00F84CD4" w:rsidRDefault="00F84CD4">
            <w:pPr>
              <w:pStyle w:val="tvhtml1"/>
              <w:spacing w:before="0" w:beforeAutospacing="0" w:line="240" w:lineRule="auto"/>
              <w:jc w:val="center"/>
              <w:rPr>
                <w:rFonts w:ascii="Times New Roman" w:hAnsi="Times New Roman"/>
                <w:sz w:val="24"/>
                <w:szCs w:val="24"/>
              </w:rPr>
            </w:pPr>
            <w:r>
              <w:rPr>
                <w:rFonts w:ascii="Times New Roman" w:hAnsi="Times New Roman"/>
                <w:sz w:val="24"/>
                <w:szCs w:val="24"/>
              </w:rPr>
              <w:t>6.2. detalizēts izdevumu aprēķins</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F84CD4" w:rsidRDefault="00F84CD4">
            <w:pPr>
              <w:spacing w:after="0" w:line="240" w:lineRule="auto"/>
              <w:rPr>
                <w:rFonts w:ascii="Times New Roman" w:eastAsia="Times New Roman" w:hAnsi="Times New Roman"/>
                <w:iCs/>
                <w:sz w:val="24"/>
                <w:szCs w:val="24"/>
                <w:lang w:eastAsia="lv-LV"/>
              </w:rPr>
            </w:pPr>
          </w:p>
        </w:tc>
      </w:tr>
      <w:tr w:rsidR="00F84CD4" w:rsidTr="00F84CD4">
        <w:tc>
          <w:tcPr>
            <w:tcW w:w="3085" w:type="dxa"/>
            <w:tcBorders>
              <w:top w:val="single" w:sz="4" w:space="0" w:color="auto"/>
              <w:left w:val="single" w:sz="4" w:space="0" w:color="auto"/>
              <w:bottom w:val="single" w:sz="4" w:space="0" w:color="auto"/>
              <w:right w:val="single" w:sz="4" w:space="0" w:color="auto"/>
            </w:tcBorders>
            <w:vAlign w:val="center"/>
            <w:hideMark/>
          </w:tcPr>
          <w:p w:rsidR="00F84CD4" w:rsidRDefault="00F84CD4">
            <w:pPr>
              <w:pStyle w:val="tvhtml1"/>
              <w:spacing w:before="0" w:beforeAutospacing="0" w:line="240" w:lineRule="auto"/>
              <w:jc w:val="center"/>
              <w:rPr>
                <w:rFonts w:ascii="Times New Roman" w:hAnsi="Times New Roman"/>
                <w:sz w:val="24"/>
                <w:szCs w:val="24"/>
              </w:rPr>
            </w:pPr>
            <w:r>
              <w:rPr>
                <w:rFonts w:ascii="Times New Roman" w:hAnsi="Times New Roman"/>
                <w:sz w:val="24"/>
                <w:szCs w:val="24"/>
              </w:rPr>
              <w:t>7. Cita informācija</w:t>
            </w:r>
          </w:p>
        </w:tc>
        <w:tc>
          <w:tcPr>
            <w:tcW w:w="6202" w:type="dxa"/>
            <w:gridSpan w:val="5"/>
            <w:tcBorders>
              <w:top w:val="single" w:sz="4" w:space="0" w:color="auto"/>
              <w:left w:val="single" w:sz="4" w:space="0" w:color="auto"/>
              <w:bottom w:val="single" w:sz="4" w:space="0" w:color="auto"/>
              <w:right w:val="single" w:sz="4" w:space="0" w:color="auto"/>
            </w:tcBorders>
            <w:vAlign w:val="center"/>
            <w:hideMark/>
          </w:tcPr>
          <w:p w:rsidR="00F84CD4" w:rsidRDefault="00F84CD4">
            <w:pPr>
              <w:pStyle w:val="tvhtml"/>
              <w:spacing w:before="0" w:beforeAutospacing="0" w:after="0" w:afterAutospacing="0"/>
              <w:jc w:val="center"/>
              <w:rPr>
                <w:rFonts w:ascii="Times New Roman" w:hAnsi="Times New Roman"/>
                <w:iCs/>
                <w:sz w:val="24"/>
                <w:szCs w:val="24"/>
              </w:rPr>
            </w:pPr>
            <w:r>
              <w:rPr>
                <w:rFonts w:ascii="Times New Roman" w:hAnsi="Times New Roman"/>
                <w:iCs/>
                <w:sz w:val="24"/>
                <w:szCs w:val="24"/>
              </w:rPr>
              <w:t>Valsts budžetam var rasties  ieņēmumi no komersantiem uzliktajām soda naudām, kuru apjomu pašlaik nav iespējams aprēķināt.</w:t>
            </w:r>
          </w:p>
        </w:tc>
      </w:tr>
    </w:tbl>
    <w:p w:rsidR="00C01DDB" w:rsidRDefault="00C01DDB" w:rsidP="00A0154D">
      <w:pPr>
        <w:pStyle w:val="tvhtml"/>
        <w:spacing w:before="0" w:beforeAutospacing="0" w:after="0" w:afterAutospacing="0"/>
        <w:jc w:val="center"/>
        <w:rPr>
          <w:rFonts w:ascii="Times New Roman" w:hAnsi="Times New Roman"/>
          <w:iCs/>
          <w:sz w:val="22"/>
          <w:szCs w:val="22"/>
        </w:rPr>
      </w:pPr>
    </w:p>
    <w:p w:rsidR="00F84CD4" w:rsidRDefault="00F84CD4" w:rsidP="00A0154D">
      <w:pPr>
        <w:pStyle w:val="tvhtml"/>
        <w:spacing w:before="0" w:beforeAutospacing="0" w:after="0" w:afterAutospacing="0"/>
        <w:jc w:val="center"/>
        <w:rPr>
          <w:rFonts w:ascii="Times New Roman" w:hAnsi="Times New Roman"/>
          <w:iCs/>
          <w:sz w:val="22"/>
          <w:szCs w:val="22"/>
        </w:rPr>
      </w:pPr>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24"/>
        <w:gridCol w:w="4738"/>
        <w:gridCol w:w="4379"/>
      </w:tblGrid>
      <w:tr w:rsidR="00F84CD4" w:rsidTr="00F84CD4">
        <w:tc>
          <w:tcPr>
            <w:tcW w:w="5000" w:type="pct"/>
            <w:gridSpan w:val="3"/>
            <w:tcBorders>
              <w:top w:val="single" w:sz="6" w:space="0" w:color="000000"/>
              <w:left w:val="single" w:sz="6" w:space="0" w:color="000000"/>
              <w:bottom w:val="outset" w:sz="6" w:space="0" w:color="000000"/>
              <w:right w:val="single" w:sz="6" w:space="0" w:color="000000"/>
            </w:tcBorders>
            <w:hideMark/>
          </w:tcPr>
          <w:p w:rsidR="00F84CD4" w:rsidRDefault="00F84CD4">
            <w:pPr>
              <w:pStyle w:val="NormalWeb"/>
              <w:spacing w:before="0" w:beforeAutospacing="0" w:after="0" w:afterAutospacing="0"/>
              <w:jc w:val="center"/>
              <w:rPr>
                <w:b/>
                <w:bCs/>
                <w:sz w:val="22"/>
                <w:szCs w:val="22"/>
                <w:lang w:eastAsia="lv-LV"/>
              </w:rPr>
            </w:pPr>
            <w:r>
              <w:rPr>
                <w:b/>
                <w:bCs/>
                <w:sz w:val="22"/>
                <w:szCs w:val="22"/>
                <w:lang w:eastAsia="lv-LV"/>
              </w:rPr>
              <w:t>IV. Tiesību akta projekta ietekme uz spēkā esošo tiesību normu sistēmu</w:t>
            </w:r>
          </w:p>
        </w:tc>
      </w:tr>
      <w:tr w:rsidR="00F84CD4" w:rsidTr="00F84CD4">
        <w:tc>
          <w:tcPr>
            <w:tcW w:w="272" w:type="pct"/>
            <w:tcBorders>
              <w:top w:val="outset" w:sz="6" w:space="0" w:color="000000"/>
              <w:left w:val="outset" w:sz="6" w:space="0" w:color="000000"/>
              <w:bottom w:val="outset" w:sz="6" w:space="0" w:color="000000"/>
              <w:right w:val="outset" w:sz="6" w:space="0" w:color="000000"/>
            </w:tcBorders>
            <w:hideMark/>
          </w:tcPr>
          <w:p w:rsidR="00F84CD4" w:rsidRDefault="00F84CD4">
            <w:pPr>
              <w:pStyle w:val="NormalWeb"/>
              <w:spacing w:before="0" w:beforeAutospacing="0" w:after="0" w:afterAutospacing="0"/>
              <w:rPr>
                <w:sz w:val="22"/>
                <w:szCs w:val="22"/>
                <w:lang w:eastAsia="lv-LV"/>
              </w:rPr>
            </w:pPr>
            <w:r>
              <w:rPr>
                <w:sz w:val="22"/>
                <w:szCs w:val="22"/>
                <w:lang w:eastAsia="lv-LV"/>
              </w:rPr>
              <w:t>1.</w:t>
            </w:r>
          </w:p>
        </w:tc>
        <w:tc>
          <w:tcPr>
            <w:tcW w:w="2457" w:type="pct"/>
            <w:tcBorders>
              <w:top w:val="outset" w:sz="6" w:space="0" w:color="000000"/>
              <w:left w:val="outset" w:sz="6" w:space="0" w:color="000000"/>
              <w:bottom w:val="outset" w:sz="6" w:space="0" w:color="000000"/>
              <w:right w:val="outset" w:sz="6" w:space="0" w:color="000000"/>
            </w:tcBorders>
            <w:hideMark/>
          </w:tcPr>
          <w:p w:rsidR="00F84CD4" w:rsidRDefault="00F84CD4">
            <w:pPr>
              <w:pStyle w:val="NormalWeb"/>
              <w:spacing w:before="0" w:beforeAutospacing="0" w:after="0" w:afterAutospacing="0"/>
              <w:rPr>
                <w:sz w:val="22"/>
                <w:szCs w:val="22"/>
                <w:lang w:eastAsia="lv-LV"/>
              </w:rPr>
            </w:pPr>
            <w:r>
              <w:rPr>
                <w:sz w:val="22"/>
                <w:szCs w:val="22"/>
                <w:lang w:eastAsia="lv-LV"/>
              </w:rPr>
              <w:t>Nepieciešamie saistītie tiesību aktu projekti</w:t>
            </w:r>
          </w:p>
        </w:tc>
        <w:tc>
          <w:tcPr>
            <w:tcW w:w="2271" w:type="pct"/>
            <w:tcBorders>
              <w:top w:val="outset" w:sz="6" w:space="0" w:color="000000"/>
              <w:left w:val="outset" w:sz="6" w:space="0" w:color="000000"/>
              <w:bottom w:val="outset" w:sz="6" w:space="0" w:color="000000"/>
              <w:right w:val="outset" w:sz="6" w:space="0" w:color="000000"/>
            </w:tcBorders>
            <w:hideMark/>
          </w:tcPr>
          <w:p w:rsidR="00F84CD4" w:rsidRDefault="00F84CD4">
            <w:pPr>
              <w:pStyle w:val="NormalWeb"/>
              <w:spacing w:before="0" w:beforeAutospacing="0" w:after="0" w:afterAutospacing="0"/>
              <w:rPr>
                <w:sz w:val="22"/>
                <w:szCs w:val="22"/>
                <w:lang w:eastAsia="lv-LV"/>
              </w:rPr>
            </w:pPr>
            <w:r>
              <w:rPr>
                <w:sz w:val="22"/>
                <w:szCs w:val="22"/>
                <w:lang w:eastAsia="lv-LV"/>
              </w:rPr>
              <w:t>Nepieciešamas izmaiņas MK 2011.gada 29.novembra noteikumos Nr.914 „Elektroenerģijas tirdzniecības un lietošanas noteikumi”. Paredzēts, ka nepieciešamās izmaiņas tiks izstrādātas un noteikumi tiks izdoti līdz 2013.gada 1. maijam.</w:t>
            </w:r>
          </w:p>
          <w:p w:rsidR="00F84CD4" w:rsidRDefault="00F84CD4">
            <w:pPr>
              <w:pStyle w:val="NormalWeb"/>
              <w:spacing w:before="0" w:beforeAutospacing="0" w:after="0" w:afterAutospacing="0"/>
              <w:rPr>
                <w:sz w:val="22"/>
                <w:szCs w:val="22"/>
                <w:lang w:eastAsia="lv-LV"/>
              </w:rPr>
            </w:pPr>
            <w:r>
              <w:rPr>
                <w:sz w:val="22"/>
                <w:szCs w:val="22"/>
              </w:rPr>
              <w:t>Līdz 2013.gada 1.aprīlim tiks izstrādāts Elektroenerģijas kopējās cenas pieauguma risku ierobežošanas rīcības plāns.</w:t>
            </w:r>
          </w:p>
        </w:tc>
      </w:tr>
      <w:tr w:rsidR="00F84CD4" w:rsidTr="00F84CD4">
        <w:trPr>
          <w:trHeight w:val="35"/>
        </w:trPr>
        <w:tc>
          <w:tcPr>
            <w:tcW w:w="272" w:type="pct"/>
            <w:tcBorders>
              <w:top w:val="outset" w:sz="6" w:space="0" w:color="000000"/>
              <w:left w:val="outset" w:sz="6" w:space="0" w:color="000000"/>
              <w:bottom w:val="outset" w:sz="6" w:space="0" w:color="000000"/>
              <w:right w:val="outset" w:sz="6" w:space="0" w:color="000000"/>
            </w:tcBorders>
            <w:hideMark/>
          </w:tcPr>
          <w:p w:rsidR="00F84CD4" w:rsidRDefault="00F84CD4">
            <w:pPr>
              <w:pStyle w:val="NormalWeb"/>
              <w:spacing w:before="0" w:beforeAutospacing="0" w:after="0" w:afterAutospacing="0"/>
              <w:rPr>
                <w:sz w:val="22"/>
                <w:szCs w:val="22"/>
                <w:lang w:eastAsia="lv-LV"/>
              </w:rPr>
            </w:pPr>
            <w:r>
              <w:rPr>
                <w:sz w:val="22"/>
                <w:szCs w:val="22"/>
                <w:lang w:eastAsia="lv-LV"/>
              </w:rPr>
              <w:t>2.</w:t>
            </w:r>
          </w:p>
        </w:tc>
        <w:tc>
          <w:tcPr>
            <w:tcW w:w="2457" w:type="pct"/>
            <w:tcBorders>
              <w:top w:val="outset" w:sz="6" w:space="0" w:color="000000"/>
              <w:left w:val="outset" w:sz="6" w:space="0" w:color="000000"/>
              <w:bottom w:val="outset" w:sz="6" w:space="0" w:color="000000"/>
              <w:right w:val="outset" w:sz="6" w:space="0" w:color="000000"/>
            </w:tcBorders>
            <w:hideMark/>
          </w:tcPr>
          <w:p w:rsidR="00F84CD4" w:rsidRDefault="00F84CD4">
            <w:pPr>
              <w:pStyle w:val="NormalWeb"/>
              <w:spacing w:before="0" w:beforeAutospacing="0" w:after="0" w:afterAutospacing="0"/>
              <w:rPr>
                <w:sz w:val="22"/>
                <w:szCs w:val="22"/>
                <w:lang w:eastAsia="lv-LV"/>
              </w:rPr>
            </w:pPr>
            <w:r>
              <w:rPr>
                <w:sz w:val="22"/>
                <w:szCs w:val="22"/>
                <w:lang w:eastAsia="lv-LV"/>
              </w:rPr>
              <w:t>Cita informācija</w:t>
            </w:r>
          </w:p>
        </w:tc>
        <w:tc>
          <w:tcPr>
            <w:tcW w:w="2271" w:type="pct"/>
            <w:tcBorders>
              <w:top w:val="outset" w:sz="6" w:space="0" w:color="000000"/>
              <w:left w:val="outset" w:sz="6" w:space="0" w:color="000000"/>
              <w:bottom w:val="outset" w:sz="6" w:space="0" w:color="000000"/>
              <w:right w:val="outset" w:sz="6" w:space="0" w:color="000000"/>
            </w:tcBorders>
            <w:hideMark/>
          </w:tcPr>
          <w:p w:rsidR="00F84CD4" w:rsidRDefault="002507E8" w:rsidP="002507E8">
            <w:pPr>
              <w:pStyle w:val="PlainText"/>
              <w:rPr>
                <w:sz w:val="22"/>
                <w:szCs w:val="22"/>
                <w:lang w:eastAsia="lv-LV"/>
              </w:rPr>
            </w:pPr>
            <w:r w:rsidRPr="002507E8">
              <w:rPr>
                <w:rFonts w:ascii="Times New Roman" w:eastAsia="Times New Roman" w:hAnsi="Times New Roman"/>
                <w:sz w:val="22"/>
                <w:szCs w:val="22"/>
                <w:lang w:eastAsia="lv-LV"/>
              </w:rPr>
              <w:t>Valdības rīcības plāna (apstiprināts ar MK 16.02.2012. rīkojumu Nr.84 „Par Valdības rīcības plānu Deklarācijas par Valda Dombrovska vadītā Ministru kabineta iecerēto darbību īstenošanai”) 17.4.punktā noteikts uzdevums Ekonomikas ministrijai sadarbībā ar VARAM izstrādāt un līdz 2013.gada 15.oktobrim iesniegt Valdībā vienotus nosacījumus dzīvokļa  pabalstu saņemšanai valstī.</w:t>
            </w:r>
          </w:p>
        </w:tc>
      </w:tr>
    </w:tbl>
    <w:p w:rsidR="00F84CD4" w:rsidRDefault="00F84CD4" w:rsidP="00A0154D">
      <w:pPr>
        <w:pStyle w:val="tvhtml"/>
        <w:spacing w:before="0" w:beforeAutospacing="0" w:after="0" w:afterAutospacing="0"/>
        <w:jc w:val="center"/>
        <w:rPr>
          <w:rFonts w:ascii="Times New Roman" w:hAnsi="Times New Roman"/>
          <w:iCs/>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567"/>
        <w:gridCol w:w="829"/>
        <w:gridCol w:w="2474"/>
        <w:gridCol w:w="5202"/>
      </w:tblGrid>
      <w:tr w:rsidR="00F84CD4" w:rsidRPr="005273EE" w:rsidTr="00BA50DA">
        <w:tc>
          <w:tcPr>
            <w:tcW w:w="9640" w:type="dxa"/>
            <w:gridSpan w:val="5"/>
            <w:tcBorders>
              <w:top w:val="single" w:sz="4" w:space="0" w:color="auto"/>
              <w:left w:val="single" w:sz="4" w:space="0" w:color="auto"/>
              <w:bottom w:val="single" w:sz="4" w:space="0" w:color="auto"/>
              <w:right w:val="single" w:sz="4" w:space="0" w:color="auto"/>
            </w:tcBorders>
            <w:hideMark/>
          </w:tcPr>
          <w:p w:rsidR="00F84CD4" w:rsidRPr="005273EE" w:rsidRDefault="00F84CD4" w:rsidP="00BA50DA">
            <w:pPr>
              <w:spacing w:after="0" w:line="240" w:lineRule="auto"/>
              <w:jc w:val="center"/>
              <w:rPr>
                <w:rFonts w:ascii="Times New Roman" w:eastAsia="Times New Roman" w:hAnsi="Times New Roman"/>
                <w:b/>
                <w:sz w:val="24"/>
                <w:szCs w:val="24"/>
                <w:lang w:eastAsia="lv-LV"/>
              </w:rPr>
            </w:pPr>
            <w:r w:rsidRPr="005273EE">
              <w:rPr>
                <w:rFonts w:ascii="Times New Roman" w:eastAsia="Times New Roman" w:hAnsi="Times New Roman"/>
                <w:b/>
                <w:sz w:val="24"/>
                <w:szCs w:val="24"/>
                <w:lang w:eastAsia="lv-LV"/>
              </w:rPr>
              <w:t>V. Tiesību akta projekta atbilstība Latvijas Republikas starptautiskajām saistībām</w:t>
            </w:r>
          </w:p>
        </w:tc>
      </w:tr>
      <w:tr w:rsidR="00F84CD4" w:rsidRPr="005273EE" w:rsidTr="00BA50DA">
        <w:tc>
          <w:tcPr>
            <w:tcW w:w="568" w:type="dxa"/>
            <w:tcBorders>
              <w:top w:val="single" w:sz="4" w:space="0" w:color="auto"/>
              <w:left w:val="single" w:sz="4" w:space="0" w:color="auto"/>
              <w:bottom w:val="single" w:sz="4" w:space="0" w:color="auto"/>
              <w:right w:val="single" w:sz="4" w:space="0" w:color="auto"/>
            </w:tcBorders>
            <w:hideMark/>
          </w:tcPr>
          <w:p w:rsidR="00F84CD4" w:rsidRPr="005273EE" w:rsidRDefault="00F84CD4" w:rsidP="00BA50DA">
            <w:pPr>
              <w:tabs>
                <w:tab w:val="left" w:pos="2628"/>
              </w:tabs>
              <w:spacing w:after="0" w:line="240" w:lineRule="auto"/>
              <w:jc w:val="both"/>
              <w:rPr>
                <w:rFonts w:ascii="Times New Roman" w:eastAsia="Times New Roman" w:hAnsi="Times New Roman"/>
                <w:iCs/>
                <w:lang w:eastAsia="lv-LV"/>
              </w:rPr>
            </w:pPr>
            <w:r w:rsidRPr="005273EE">
              <w:rPr>
                <w:rFonts w:ascii="Times New Roman" w:eastAsia="Times New Roman" w:hAnsi="Times New Roman"/>
                <w:iCs/>
                <w:lang w:eastAsia="lv-LV"/>
              </w:rPr>
              <w:t>1.</w:t>
            </w:r>
          </w:p>
        </w:tc>
        <w:tc>
          <w:tcPr>
            <w:tcW w:w="3870" w:type="dxa"/>
            <w:gridSpan w:val="3"/>
            <w:tcBorders>
              <w:top w:val="single" w:sz="4" w:space="0" w:color="auto"/>
              <w:left w:val="single" w:sz="4" w:space="0" w:color="auto"/>
              <w:bottom w:val="single" w:sz="4" w:space="0" w:color="auto"/>
              <w:right w:val="single" w:sz="4" w:space="0" w:color="auto"/>
            </w:tcBorders>
            <w:hideMark/>
          </w:tcPr>
          <w:p w:rsidR="00F84CD4" w:rsidRPr="005273EE" w:rsidRDefault="00F84CD4" w:rsidP="00BA50DA">
            <w:pPr>
              <w:tabs>
                <w:tab w:val="left" w:pos="2628"/>
              </w:tabs>
              <w:spacing w:after="0" w:line="240" w:lineRule="auto"/>
              <w:jc w:val="both"/>
              <w:rPr>
                <w:rFonts w:ascii="Times New Roman" w:eastAsia="Times New Roman" w:hAnsi="Times New Roman"/>
                <w:iCs/>
                <w:lang w:eastAsia="lv-LV"/>
              </w:rPr>
            </w:pPr>
            <w:r w:rsidRPr="005273EE">
              <w:rPr>
                <w:rFonts w:ascii="Times New Roman" w:eastAsia="Times New Roman" w:hAnsi="Times New Roman"/>
                <w:lang w:eastAsia="lv-LV"/>
              </w:rPr>
              <w:t>Saistības pret Eiropas Savienību</w:t>
            </w:r>
          </w:p>
        </w:tc>
        <w:tc>
          <w:tcPr>
            <w:tcW w:w="5202" w:type="dxa"/>
            <w:tcBorders>
              <w:top w:val="single" w:sz="4" w:space="0" w:color="auto"/>
              <w:left w:val="single" w:sz="4" w:space="0" w:color="auto"/>
              <w:bottom w:val="single" w:sz="4" w:space="0" w:color="auto"/>
              <w:right w:val="single" w:sz="4" w:space="0" w:color="auto"/>
            </w:tcBorders>
            <w:hideMark/>
          </w:tcPr>
          <w:p w:rsidR="00F84CD4" w:rsidRPr="005273EE" w:rsidRDefault="00F84CD4" w:rsidP="00BA50DA">
            <w:pPr>
              <w:spacing w:after="0" w:line="240" w:lineRule="auto"/>
              <w:jc w:val="both"/>
              <w:rPr>
                <w:rFonts w:ascii="Times New Roman" w:eastAsia="Times New Roman" w:hAnsi="Times New Roman"/>
                <w:lang w:eastAsia="lv-LV"/>
              </w:rPr>
            </w:pPr>
            <w:r w:rsidRPr="005273EE">
              <w:rPr>
                <w:rFonts w:ascii="Times New Roman" w:hAnsi="Times New Roman"/>
                <w:bCs/>
              </w:rPr>
              <w:t xml:space="preserve">Eiropas Parlamenta un Padomes Direktīvas 2009/72/EK </w:t>
            </w:r>
            <w:r w:rsidRPr="005273EE">
              <w:rPr>
                <w:rStyle w:val="Strong"/>
                <w:rFonts w:ascii="Times New Roman" w:hAnsi="Times New Roman"/>
                <w:b w:val="0"/>
              </w:rPr>
              <w:t>(2009. gada 13.jūlijs)</w:t>
            </w:r>
            <w:r w:rsidRPr="005273EE">
              <w:rPr>
                <w:rFonts w:ascii="Times New Roman" w:hAnsi="Times New Roman"/>
              </w:rPr>
              <w:t xml:space="preserve"> </w:t>
            </w:r>
            <w:r w:rsidRPr="005273EE">
              <w:rPr>
                <w:rFonts w:ascii="Times New Roman" w:hAnsi="Times New Roman"/>
                <w:bCs/>
              </w:rPr>
              <w:t xml:space="preserve">par kopīgiem noteikumiem attiecībā uz elektroenerģijas iekšējo tirgu un par Direktīvas 2003/54/EK atcelšanu </w:t>
            </w:r>
            <w:r w:rsidRPr="005273EE">
              <w:rPr>
                <w:rFonts w:ascii="Times New Roman" w:eastAsia="Times New Roman" w:hAnsi="Times New Roman"/>
                <w:lang w:eastAsia="lv-LV"/>
              </w:rPr>
              <w:t>iekļautās normas nacionālajos tiesību aktos bija jāpārņem līdz 2011.gada 3.martam.</w:t>
            </w:r>
          </w:p>
          <w:p w:rsidR="00F84CD4" w:rsidRPr="005273EE" w:rsidRDefault="00F84CD4" w:rsidP="00BA50DA">
            <w:pPr>
              <w:pStyle w:val="naiskr"/>
              <w:spacing w:before="0" w:after="0"/>
              <w:ind w:hanging="5"/>
              <w:jc w:val="both"/>
              <w:rPr>
                <w:sz w:val="22"/>
                <w:szCs w:val="22"/>
              </w:rPr>
            </w:pPr>
            <w:r w:rsidRPr="005273EE">
              <w:rPr>
                <w:sz w:val="22"/>
                <w:szCs w:val="22"/>
              </w:rPr>
              <w:t xml:space="preserve">Eiropas Parlamenta un Padomes regulas Nr.1227/2011 par enerģijas </w:t>
            </w:r>
            <w:proofErr w:type="spellStart"/>
            <w:r w:rsidRPr="005273EE">
              <w:rPr>
                <w:sz w:val="22"/>
                <w:szCs w:val="22"/>
              </w:rPr>
              <w:t>vairumtirgus</w:t>
            </w:r>
            <w:proofErr w:type="spellEnd"/>
            <w:r w:rsidRPr="005273EE">
              <w:rPr>
                <w:sz w:val="22"/>
                <w:szCs w:val="22"/>
              </w:rPr>
              <w:t xml:space="preserve"> integritāti un </w:t>
            </w:r>
            <w:proofErr w:type="spellStart"/>
            <w:r w:rsidRPr="005273EE">
              <w:rPr>
                <w:sz w:val="22"/>
                <w:szCs w:val="22"/>
              </w:rPr>
              <w:t>pārredzamību</w:t>
            </w:r>
            <w:proofErr w:type="spellEnd"/>
            <w:r w:rsidRPr="005273EE">
              <w:rPr>
                <w:sz w:val="22"/>
                <w:szCs w:val="22"/>
              </w:rPr>
              <w:t xml:space="preserve"> prasība par iedarbīgu, atturošu un samērīgu sankciju ieviešanu dalībvalstīm jāizpilda un par tām jāpaziņo Eiropas Komisijai ne vēlāk kā līdz 2013.gada 29.jūnijam.</w:t>
            </w:r>
          </w:p>
          <w:p w:rsidR="00F84CD4" w:rsidRPr="005273EE" w:rsidRDefault="00F84CD4" w:rsidP="00BA50DA">
            <w:pPr>
              <w:spacing w:before="100" w:beforeAutospacing="1" w:after="100" w:afterAutospacing="1" w:line="240" w:lineRule="auto"/>
              <w:jc w:val="both"/>
              <w:rPr>
                <w:rFonts w:ascii="Times New Roman" w:eastAsia="Times New Roman" w:hAnsi="Times New Roman"/>
                <w:lang w:eastAsia="lv-LV"/>
              </w:rPr>
            </w:pPr>
          </w:p>
        </w:tc>
      </w:tr>
      <w:tr w:rsidR="00F84CD4" w:rsidRPr="005273EE" w:rsidTr="00BA50DA">
        <w:tc>
          <w:tcPr>
            <w:tcW w:w="568" w:type="dxa"/>
            <w:tcBorders>
              <w:top w:val="single" w:sz="4" w:space="0" w:color="auto"/>
              <w:left w:val="single" w:sz="4" w:space="0" w:color="auto"/>
              <w:bottom w:val="single" w:sz="4" w:space="0" w:color="auto"/>
              <w:right w:val="single" w:sz="4" w:space="0" w:color="auto"/>
            </w:tcBorders>
            <w:hideMark/>
          </w:tcPr>
          <w:p w:rsidR="00F84CD4" w:rsidRPr="005273EE" w:rsidRDefault="00F84CD4" w:rsidP="00BA50DA">
            <w:pPr>
              <w:tabs>
                <w:tab w:val="left" w:pos="2628"/>
              </w:tabs>
              <w:spacing w:after="0" w:line="240" w:lineRule="auto"/>
              <w:jc w:val="both"/>
              <w:rPr>
                <w:rFonts w:ascii="Times New Roman" w:eastAsia="Times New Roman" w:hAnsi="Times New Roman"/>
                <w:iCs/>
                <w:lang w:eastAsia="lv-LV"/>
              </w:rPr>
            </w:pPr>
            <w:r w:rsidRPr="005273EE">
              <w:rPr>
                <w:rFonts w:ascii="Times New Roman" w:eastAsia="Times New Roman" w:hAnsi="Times New Roman"/>
                <w:iCs/>
                <w:lang w:eastAsia="lv-LV"/>
              </w:rPr>
              <w:t>2.</w:t>
            </w:r>
          </w:p>
        </w:tc>
        <w:tc>
          <w:tcPr>
            <w:tcW w:w="3870" w:type="dxa"/>
            <w:gridSpan w:val="3"/>
            <w:tcBorders>
              <w:top w:val="single" w:sz="4" w:space="0" w:color="auto"/>
              <w:left w:val="single" w:sz="4" w:space="0" w:color="auto"/>
              <w:bottom w:val="single" w:sz="4" w:space="0" w:color="auto"/>
              <w:right w:val="single" w:sz="4" w:space="0" w:color="auto"/>
            </w:tcBorders>
            <w:hideMark/>
          </w:tcPr>
          <w:p w:rsidR="00F84CD4" w:rsidRPr="005273EE" w:rsidRDefault="00F84CD4" w:rsidP="00BA50DA">
            <w:pPr>
              <w:tabs>
                <w:tab w:val="left" w:pos="2628"/>
              </w:tabs>
              <w:spacing w:after="0" w:line="240" w:lineRule="auto"/>
              <w:jc w:val="both"/>
              <w:rPr>
                <w:rFonts w:ascii="Times New Roman" w:eastAsia="Times New Roman" w:hAnsi="Times New Roman"/>
                <w:iCs/>
                <w:lang w:eastAsia="lv-LV"/>
              </w:rPr>
            </w:pPr>
            <w:r w:rsidRPr="005273EE">
              <w:rPr>
                <w:rFonts w:ascii="Times New Roman" w:eastAsia="Times New Roman" w:hAnsi="Times New Roman"/>
                <w:lang w:eastAsia="lv-LV"/>
              </w:rPr>
              <w:t>Citas starptautiskās saistības</w:t>
            </w:r>
          </w:p>
        </w:tc>
        <w:tc>
          <w:tcPr>
            <w:tcW w:w="5202" w:type="dxa"/>
            <w:tcBorders>
              <w:top w:val="single" w:sz="4" w:space="0" w:color="auto"/>
              <w:left w:val="single" w:sz="4" w:space="0" w:color="auto"/>
              <w:bottom w:val="single" w:sz="4" w:space="0" w:color="auto"/>
              <w:right w:val="single" w:sz="4" w:space="0" w:color="auto"/>
            </w:tcBorders>
            <w:hideMark/>
          </w:tcPr>
          <w:p w:rsidR="00F84CD4" w:rsidRPr="005273EE" w:rsidRDefault="00F84CD4" w:rsidP="00BA50DA">
            <w:pPr>
              <w:tabs>
                <w:tab w:val="left" w:pos="2628"/>
              </w:tabs>
              <w:spacing w:after="0" w:line="240" w:lineRule="auto"/>
              <w:jc w:val="both"/>
              <w:rPr>
                <w:rFonts w:ascii="Times New Roman" w:eastAsia="Times New Roman" w:hAnsi="Times New Roman"/>
                <w:iCs/>
                <w:lang w:eastAsia="lv-LV"/>
              </w:rPr>
            </w:pPr>
          </w:p>
        </w:tc>
      </w:tr>
      <w:tr w:rsidR="00F84CD4" w:rsidRPr="005273EE" w:rsidTr="00BA50DA">
        <w:tc>
          <w:tcPr>
            <w:tcW w:w="568" w:type="dxa"/>
            <w:tcBorders>
              <w:top w:val="single" w:sz="4" w:space="0" w:color="auto"/>
              <w:left w:val="single" w:sz="4" w:space="0" w:color="auto"/>
              <w:bottom w:val="single" w:sz="4" w:space="0" w:color="auto"/>
              <w:right w:val="single" w:sz="4" w:space="0" w:color="auto"/>
            </w:tcBorders>
            <w:hideMark/>
          </w:tcPr>
          <w:p w:rsidR="00F84CD4" w:rsidRPr="005273EE" w:rsidRDefault="00F84CD4" w:rsidP="00BA50DA">
            <w:pPr>
              <w:tabs>
                <w:tab w:val="left" w:pos="2628"/>
              </w:tabs>
              <w:spacing w:after="0" w:line="240" w:lineRule="auto"/>
              <w:jc w:val="both"/>
              <w:rPr>
                <w:rFonts w:ascii="Times New Roman" w:eastAsia="Times New Roman" w:hAnsi="Times New Roman"/>
                <w:iCs/>
                <w:lang w:eastAsia="lv-LV"/>
              </w:rPr>
            </w:pPr>
            <w:r w:rsidRPr="005273EE">
              <w:rPr>
                <w:rFonts w:ascii="Times New Roman" w:eastAsia="Times New Roman" w:hAnsi="Times New Roman"/>
                <w:iCs/>
                <w:lang w:eastAsia="lv-LV"/>
              </w:rPr>
              <w:t>3.</w:t>
            </w:r>
          </w:p>
        </w:tc>
        <w:tc>
          <w:tcPr>
            <w:tcW w:w="3870" w:type="dxa"/>
            <w:gridSpan w:val="3"/>
            <w:tcBorders>
              <w:top w:val="single" w:sz="4" w:space="0" w:color="auto"/>
              <w:left w:val="single" w:sz="4" w:space="0" w:color="auto"/>
              <w:bottom w:val="single" w:sz="4" w:space="0" w:color="auto"/>
              <w:right w:val="single" w:sz="4" w:space="0" w:color="auto"/>
            </w:tcBorders>
            <w:hideMark/>
          </w:tcPr>
          <w:p w:rsidR="00F84CD4" w:rsidRPr="005273EE" w:rsidRDefault="00F84CD4" w:rsidP="00BA50DA">
            <w:pPr>
              <w:tabs>
                <w:tab w:val="left" w:pos="2628"/>
              </w:tabs>
              <w:spacing w:after="0" w:line="240" w:lineRule="auto"/>
              <w:jc w:val="both"/>
              <w:rPr>
                <w:rFonts w:ascii="Times New Roman" w:eastAsia="Times New Roman" w:hAnsi="Times New Roman"/>
                <w:lang w:eastAsia="lv-LV"/>
              </w:rPr>
            </w:pPr>
            <w:r w:rsidRPr="005273EE">
              <w:rPr>
                <w:rFonts w:ascii="Times New Roman" w:eastAsia="Times New Roman" w:hAnsi="Times New Roman"/>
                <w:lang w:eastAsia="lv-LV"/>
              </w:rPr>
              <w:t>Cita informācija</w:t>
            </w:r>
          </w:p>
        </w:tc>
        <w:tc>
          <w:tcPr>
            <w:tcW w:w="5202" w:type="dxa"/>
            <w:tcBorders>
              <w:top w:val="single" w:sz="4" w:space="0" w:color="auto"/>
              <w:left w:val="single" w:sz="4" w:space="0" w:color="auto"/>
              <w:bottom w:val="single" w:sz="4" w:space="0" w:color="auto"/>
              <w:right w:val="single" w:sz="4" w:space="0" w:color="auto"/>
            </w:tcBorders>
            <w:hideMark/>
          </w:tcPr>
          <w:p w:rsidR="00F84CD4" w:rsidRPr="005273EE" w:rsidRDefault="00F84CD4" w:rsidP="00BA50DA">
            <w:pPr>
              <w:tabs>
                <w:tab w:val="left" w:pos="2628"/>
              </w:tabs>
              <w:spacing w:after="0" w:line="240" w:lineRule="auto"/>
              <w:jc w:val="both"/>
              <w:rPr>
                <w:rFonts w:ascii="Times New Roman" w:eastAsia="Times New Roman" w:hAnsi="Times New Roman"/>
                <w:iCs/>
                <w:lang w:eastAsia="lv-LV"/>
              </w:rPr>
            </w:pPr>
          </w:p>
        </w:tc>
      </w:tr>
      <w:tr w:rsidR="00F84CD4" w:rsidRPr="005273EE" w:rsidTr="00BA50DA">
        <w:trPr>
          <w:trHeight w:val="523"/>
        </w:trPr>
        <w:tc>
          <w:tcPr>
            <w:tcW w:w="9640"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F84CD4" w:rsidRPr="005273EE" w:rsidRDefault="00F84CD4" w:rsidP="00BA50DA">
            <w:pPr>
              <w:spacing w:after="0" w:line="240" w:lineRule="auto"/>
              <w:jc w:val="center"/>
              <w:rPr>
                <w:rFonts w:ascii="Times New Roman" w:eastAsia="Times New Roman" w:hAnsi="Times New Roman"/>
                <w:lang w:eastAsia="lv-LV"/>
              </w:rPr>
            </w:pPr>
            <w:r w:rsidRPr="005273EE">
              <w:rPr>
                <w:rFonts w:ascii="Times New Roman" w:eastAsia="Times New Roman" w:hAnsi="Times New Roman"/>
                <w:lang w:eastAsia="lv-LV"/>
              </w:rPr>
              <w:t>1.tabula</w:t>
            </w:r>
          </w:p>
          <w:p w:rsidR="00F84CD4" w:rsidRPr="005273EE" w:rsidRDefault="00F84CD4" w:rsidP="00BA50DA">
            <w:pPr>
              <w:spacing w:after="0" w:line="240" w:lineRule="auto"/>
              <w:jc w:val="center"/>
              <w:rPr>
                <w:rFonts w:ascii="Times New Roman" w:eastAsia="Times New Roman" w:hAnsi="Times New Roman"/>
                <w:i/>
                <w:lang w:eastAsia="lv-LV"/>
              </w:rPr>
            </w:pPr>
            <w:r w:rsidRPr="005273EE">
              <w:rPr>
                <w:rFonts w:ascii="Times New Roman" w:eastAsia="Times New Roman" w:hAnsi="Times New Roman"/>
                <w:lang w:eastAsia="lv-LV"/>
              </w:rPr>
              <w:t>Tiesību akta projekta atbilstība ES tiesību aktiem</w:t>
            </w:r>
          </w:p>
        </w:tc>
      </w:tr>
      <w:tr w:rsidR="00F84CD4" w:rsidRPr="005273EE" w:rsidTr="00BA50DA">
        <w:trPr>
          <w:trHeight w:val="1252"/>
        </w:trPr>
        <w:tc>
          <w:tcPr>
            <w:tcW w:w="1964"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F84CD4" w:rsidRPr="005273EE" w:rsidRDefault="00F84CD4" w:rsidP="00BA50DA">
            <w:pPr>
              <w:spacing w:after="0" w:line="240" w:lineRule="auto"/>
              <w:ind w:hanging="10"/>
              <w:jc w:val="center"/>
              <w:rPr>
                <w:rFonts w:ascii="Times New Roman" w:eastAsia="Times New Roman" w:hAnsi="Times New Roman"/>
                <w:lang w:eastAsia="lv-LV"/>
              </w:rPr>
            </w:pPr>
            <w:r w:rsidRPr="005273EE">
              <w:rPr>
                <w:rFonts w:ascii="Times New Roman" w:eastAsia="Times New Roman" w:hAnsi="Times New Roman"/>
                <w:lang w:eastAsia="lv-LV"/>
              </w:rPr>
              <w:t>Attiecīgā ES tiesību akta datums, numurs un nosaukums</w:t>
            </w:r>
          </w:p>
        </w:tc>
        <w:tc>
          <w:tcPr>
            <w:tcW w:w="767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F84CD4" w:rsidRPr="005273EE" w:rsidRDefault="00F84CD4" w:rsidP="00BA50DA">
            <w:pPr>
              <w:spacing w:after="0" w:line="240" w:lineRule="auto"/>
              <w:jc w:val="both"/>
              <w:rPr>
                <w:rFonts w:ascii="Times New Roman" w:hAnsi="Times New Roman"/>
                <w:bCs/>
              </w:rPr>
            </w:pPr>
            <w:r w:rsidRPr="005273EE">
              <w:rPr>
                <w:rFonts w:ascii="Times New Roman" w:hAnsi="Times New Roman"/>
                <w:bCs/>
              </w:rPr>
              <w:t xml:space="preserve">Eiropas Parlamenta un Padomes Direktīvas 2009/72/EK </w:t>
            </w:r>
            <w:r w:rsidRPr="005273EE">
              <w:rPr>
                <w:rStyle w:val="Strong"/>
                <w:rFonts w:ascii="Times New Roman" w:hAnsi="Times New Roman"/>
                <w:b w:val="0"/>
              </w:rPr>
              <w:t>(2009. gada 13.jūlijs)</w:t>
            </w:r>
            <w:r w:rsidRPr="005273EE">
              <w:rPr>
                <w:rFonts w:ascii="Times New Roman" w:hAnsi="Times New Roman"/>
              </w:rPr>
              <w:t xml:space="preserve"> </w:t>
            </w:r>
            <w:r w:rsidRPr="005273EE">
              <w:rPr>
                <w:rFonts w:ascii="Times New Roman" w:hAnsi="Times New Roman"/>
                <w:bCs/>
              </w:rPr>
              <w:t>par kopīgiem noteikumiem attiecībā uz elektroenerģijas iekšējo tirgu un par Direktīvas 2003/54/EK atcelšanu</w:t>
            </w:r>
          </w:p>
          <w:p w:rsidR="00F84CD4" w:rsidRPr="005273EE" w:rsidRDefault="00F84CD4" w:rsidP="00BA50DA">
            <w:pPr>
              <w:spacing w:after="0" w:line="240" w:lineRule="auto"/>
              <w:jc w:val="both"/>
              <w:rPr>
                <w:rFonts w:ascii="Times New Roman" w:hAnsi="Times New Roman"/>
                <w:bCs/>
              </w:rPr>
            </w:pPr>
          </w:p>
          <w:p w:rsidR="00F84CD4" w:rsidRPr="005273EE" w:rsidRDefault="00F84CD4" w:rsidP="00BA50DA">
            <w:pPr>
              <w:spacing w:after="0" w:line="240" w:lineRule="auto"/>
              <w:jc w:val="both"/>
              <w:rPr>
                <w:rFonts w:ascii="Times New Roman" w:eastAsia="Times New Roman" w:hAnsi="Times New Roman"/>
                <w:lang w:eastAsia="lv-LV"/>
              </w:rPr>
            </w:pPr>
            <w:r w:rsidRPr="005273EE">
              <w:rPr>
                <w:rFonts w:ascii="Times New Roman" w:hAnsi="Times New Roman"/>
              </w:rPr>
              <w:t xml:space="preserve">Eiropas Parlamenta un Padomes regulas Nr.1227/2011 par enerģijas </w:t>
            </w:r>
            <w:proofErr w:type="spellStart"/>
            <w:r w:rsidRPr="005273EE">
              <w:rPr>
                <w:rFonts w:ascii="Times New Roman" w:hAnsi="Times New Roman"/>
              </w:rPr>
              <w:t>vairumtirgus</w:t>
            </w:r>
            <w:proofErr w:type="spellEnd"/>
            <w:r w:rsidRPr="005273EE">
              <w:rPr>
                <w:rFonts w:ascii="Times New Roman" w:hAnsi="Times New Roman"/>
              </w:rPr>
              <w:t xml:space="preserve"> integritāti un </w:t>
            </w:r>
            <w:proofErr w:type="spellStart"/>
            <w:r w:rsidRPr="005273EE">
              <w:rPr>
                <w:rFonts w:ascii="Times New Roman" w:hAnsi="Times New Roman"/>
              </w:rPr>
              <w:t>pārredzamību</w:t>
            </w:r>
            <w:proofErr w:type="spellEnd"/>
          </w:p>
        </w:tc>
      </w:tr>
      <w:tr w:rsidR="00F84CD4" w:rsidRPr="005273EE" w:rsidTr="00BA50DA">
        <w:trPr>
          <w:trHeight w:val="163"/>
        </w:trPr>
        <w:tc>
          <w:tcPr>
            <w:tcW w:w="9640"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F84CD4" w:rsidRPr="005273EE" w:rsidRDefault="00F84CD4" w:rsidP="00BA50DA">
            <w:pPr>
              <w:spacing w:after="0" w:line="240" w:lineRule="auto"/>
              <w:rPr>
                <w:rFonts w:ascii="Times New Roman" w:eastAsia="Times New Roman" w:hAnsi="Times New Roman"/>
                <w:i/>
                <w:lang w:eastAsia="lv-LV"/>
              </w:rPr>
            </w:pPr>
          </w:p>
        </w:tc>
      </w:tr>
      <w:tr w:rsidR="00F84CD4" w:rsidRPr="005273EE" w:rsidTr="00BA50DA">
        <w:tc>
          <w:tcPr>
            <w:tcW w:w="1135" w:type="dxa"/>
            <w:gridSpan w:val="2"/>
            <w:tcBorders>
              <w:top w:val="nil"/>
              <w:left w:val="nil"/>
              <w:bottom w:val="nil"/>
              <w:right w:val="nil"/>
            </w:tcBorders>
            <w:vAlign w:val="center"/>
            <w:hideMark/>
          </w:tcPr>
          <w:p w:rsidR="00F84CD4" w:rsidRPr="005273EE" w:rsidRDefault="00F84CD4" w:rsidP="00BA50DA">
            <w:pPr>
              <w:spacing w:after="0" w:line="240" w:lineRule="auto"/>
              <w:rPr>
                <w:rFonts w:ascii="Times New Roman" w:eastAsia="Times New Roman" w:hAnsi="Times New Roman"/>
                <w:lang w:eastAsia="lv-LV"/>
              </w:rPr>
            </w:pPr>
          </w:p>
        </w:tc>
        <w:tc>
          <w:tcPr>
            <w:tcW w:w="829" w:type="dxa"/>
            <w:tcBorders>
              <w:top w:val="nil"/>
              <w:left w:val="nil"/>
              <w:bottom w:val="nil"/>
              <w:right w:val="nil"/>
            </w:tcBorders>
            <w:vAlign w:val="center"/>
            <w:hideMark/>
          </w:tcPr>
          <w:p w:rsidR="00F84CD4" w:rsidRPr="005273EE" w:rsidRDefault="00F84CD4" w:rsidP="00BA50DA">
            <w:pPr>
              <w:spacing w:after="0" w:line="240" w:lineRule="auto"/>
              <w:rPr>
                <w:rFonts w:ascii="Times New Roman" w:eastAsia="Times New Roman" w:hAnsi="Times New Roman"/>
                <w:lang w:eastAsia="lv-LV"/>
              </w:rPr>
            </w:pPr>
          </w:p>
        </w:tc>
        <w:tc>
          <w:tcPr>
            <w:tcW w:w="2474" w:type="dxa"/>
            <w:tcBorders>
              <w:top w:val="nil"/>
              <w:left w:val="nil"/>
              <w:bottom w:val="nil"/>
              <w:right w:val="nil"/>
            </w:tcBorders>
            <w:vAlign w:val="center"/>
            <w:hideMark/>
          </w:tcPr>
          <w:p w:rsidR="00F84CD4" w:rsidRPr="005273EE" w:rsidRDefault="00F84CD4" w:rsidP="00BA50DA">
            <w:pPr>
              <w:spacing w:after="0" w:line="240" w:lineRule="auto"/>
              <w:rPr>
                <w:rFonts w:ascii="Times New Roman" w:eastAsia="Times New Roman" w:hAnsi="Times New Roman"/>
                <w:lang w:eastAsia="lv-LV"/>
              </w:rPr>
            </w:pPr>
          </w:p>
        </w:tc>
        <w:tc>
          <w:tcPr>
            <w:tcW w:w="5202" w:type="dxa"/>
            <w:tcBorders>
              <w:top w:val="nil"/>
              <w:left w:val="nil"/>
              <w:bottom w:val="nil"/>
              <w:right w:val="nil"/>
            </w:tcBorders>
            <w:vAlign w:val="center"/>
            <w:hideMark/>
          </w:tcPr>
          <w:p w:rsidR="00F84CD4" w:rsidRPr="005273EE" w:rsidRDefault="00F84CD4" w:rsidP="00BA50DA">
            <w:pPr>
              <w:spacing w:after="0" w:line="240" w:lineRule="auto"/>
              <w:rPr>
                <w:rFonts w:ascii="Times New Roman" w:eastAsia="Times New Roman" w:hAnsi="Times New Roman"/>
                <w:lang w:eastAsia="lv-LV"/>
              </w:rPr>
            </w:pPr>
          </w:p>
        </w:tc>
      </w:tr>
    </w:tbl>
    <w:p w:rsidR="00F84CD4" w:rsidRDefault="00F84CD4" w:rsidP="00A0154D">
      <w:pPr>
        <w:pStyle w:val="tvhtml"/>
        <w:spacing w:before="0" w:beforeAutospacing="0" w:after="0" w:afterAutospacing="0"/>
        <w:jc w:val="center"/>
        <w:rPr>
          <w:rFonts w:ascii="Times New Roman" w:hAnsi="Times New Roman"/>
          <w:iCs/>
          <w:sz w:val="22"/>
          <w:szCs w:val="22"/>
        </w:rPr>
      </w:pPr>
    </w:p>
    <w:tbl>
      <w:tblPr>
        <w:tblW w:w="9498"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045"/>
        <w:gridCol w:w="1360"/>
        <w:gridCol w:w="3400"/>
        <w:gridCol w:w="2693"/>
      </w:tblGrid>
      <w:tr w:rsidR="00F84CD4" w:rsidRPr="005273EE" w:rsidTr="00E37328">
        <w:trPr>
          <w:trHeight w:val="165"/>
        </w:trPr>
        <w:tc>
          <w:tcPr>
            <w:tcW w:w="2045" w:type="dxa"/>
            <w:tcBorders>
              <w:top w:val="single" w:sz="4" w:space="0" w:color="auto"/>
              <w:left w:val="single" w:sz="4" w:space="0" w:color="auto"/>
              <w:bottom w:val="single" w:sz="4" w:space="0" w:color="auto"/>
              <w:right w:val="single" w:sz="4" w:space="0" w:color="auto"/>
            </w:tcBorders>
            <w:vAlign w:val="center"/>
            <w:hideMark/>
          </w:tcPr>
          <w:p w:rsidR="00F84CD4" w:rsidRPr="005273EE" w:rsidRDefault="00F84CD4" w:rsidP="00BA50DA">
            <w:pPr>
              <w:spacing w:after="0" w:line="165" w:lineRule="atLeast"/>
              <w:jc w:val="center"/>
              <w:rPr>
                <w:rFonts w:ascii="Times New Roman" w:eastAsia="Times New Roman" w:hAnsi="Times New Roman"/>
                <w:lang w:eastAsia="lv-LV"/>
              </w:rPr>
            </w:pPr>
            <w:r w:rsidRPr="005273EE">
              <w:rPr>
                <w:rFonts w:ascii="Times New Roman" w:eastAsia="Times New Roman" w:hAnsi="Times New Roman"/>
                <w:lang w:eastAsia="lv-LV"/>
              </w:rPr>
              <w:lastRenderedPageBreak/>
              <w:t>A</w:t>
            </w:r>
          </w:p>
        </w:tc>
        <w:tc>
          <w:tcPr>
            <w:tcW w:w="1360" w:type="dxa"/>
            <w:tcBorders>
              <w:top w:val="single" w:sz="4" w:space="0" w:color="auto"/>
              <w:left w:val="single" w:sz="4" w:space="0" w:color="auto"/>
              <w:bottom w:val="single" w:sz="4" w:space="0" w:color="auto"/>
              <w:right w:val="single" w:sz="4" w:space="0" w:color="auto"/>
            </w:tcBorders>
            <w:vAlign w:val="center"/>
            <w:hideMark/>
          </w:tcPr>
          <w:p w:rsidR="00F84CD4" w:rsidRPr="005273EE" w:rsidRDefault="00F84CD4" w:rsidP="00BA50DA">
            <w:pPr>
              <w:spacing w:after="0" w:line="165" w:lineRule="atLeast"/>
              <w:jc w:val="center"/>
              <w:rPr>
                <w:rFonts w:ascii="Times New Roman" w:eastAsia="Times New Roman" w:hAnsi="Times New Roman"/>
                <w:lang w:eastAsia="lv-LV"/>
              </w:rPr>
            </w:pPr>
            <w:r w:rsidRPr="005273EE">
              <w:rPr>
                <w:rFonts w:ascii="Times New Roman" w:eastAsia="Times New Roman" w:hAnsi="Times New Roman"/>
                <w:lang w:eastAsia="lv-LV"/>
              </w:rPr>
              <w:t>B</w:t>
            </w:r>
          </w:p>
        </w:tc>
        <w:tc>
          <w:tcPr>
            <w:tcW w:w="3400" w:type="dxa"/>
            <w:tcBorders>
              <w:top w:val="single" w:sz="4" w:space="0" w:color="auto"/>
              <w:left w:val="single" w:sz="4" w:space="0" w:color="auto"/>
              <w:bottom w:val="single" w:sz="4" w:space="0" w:color="auto"/>
              <w:right w:val="single" w:sz="4" w:space="0" w:color="auto"/>
            </w:tcBorders>
            <w:vAlign w:val="center"/>
            <w:hideMark/>
          </w:tcPr>
          <w:p w:rsidR="00F84CD4" w:rsidRPr="005273EE" w:rsidRDefault="00F84CD4" w:rsidP="00BA50DA">
            <w:pPr>
              <w:spacing w:after="0" w:line="165" w:lineRule="atLeast"/>
              <w:jc w:val="center"/>
              <w:rPr>
                <w:rFonts w:ascii="Times New Roman" w:eastAsia="Times New Roman" w:hAnsi="Times New Roman"/>
                <w:lang w:eastAsia="lv-LV"/>
              </w:rPr>
            </w:pPr>
            <w:r w:rsidRPr="005273EE">
              <w:rPr>
                <w:rFonts w:ascii="Times New Roman" w:eastAsia="Times New Roman" w:hAnsi="Times New Roman"/>
                <w:lang w:eastAsia="lv-LV"/>
              </w:rPr>
              <w:t>C</w:t>
            </w:r>
          </w:p>
        </w:tc>
        <w:tc>
          <w:tcPr>
            <w:tcW w:w="2693" w:type="dxa"/>
            <w:tcBorders>
              <w:top w:val="single" w:sz="4" w:space="0" w:color="auto"/>
              <w:left w:val="single" w:sz="4" w:space="0" w:color="auto"/>
              <w:bottom w:val="single" w:sz="4" w:space="0" w:color="auto"/>
              <w:right w:val="single" w:sz="4" w:space="0" w:color="auto"/>
            </w:tcBorders>
            <w:vAlign w:val="center"/>
            <w:hideMark/>
          </w:tcPr>
          <w:p w:rsidR="00F84CD4" w:rsidRPr="005273EE" w:rsidRDefault="00F84CD4" w:rsidP="00BA50DA">
            <w:pPr>
              <w:spacing w:after="0" w:line="165" w:lineRule="atLeast"/>
              <w:jc w:val="center"/>
              <w:rPr>
                <w:rFonts w:ascii="Times New Roman" w:eastAsia="Times New Roman" w:hAnsi="Times New Roman"/>
                <w:lang w:eastAsia="lv-LV"/>
              </w:rPr>
            </w:pPr>
            <w:r w:rsidRPr="005273EE">
              <w:rPr>
                <w:rFonts w:ascii="Times New Roman" w:eastAsia="Times New Roman" w:hAnsi="Times New Roman"/>
                <w:lang w:eastAsia="lv-LV"/>
              </w:rPr>
              <w:t>D</w:t>
            </w:r>
          </w:p>
        </w:tc>
      </w:tr>
      <w:tr w:rsidR="00F84CD4" w:rsidRPr="005273EE" w:rsidTr="00E37328">
        <w:trPr>
          <w:trHeight w:val="2508"/>
        </w:trPr>
        <w:tc>
          <w:tcPr>
            <w:tcW w:w="2045" w:type="dxa"/>
            <w:tcBorders>
              <w:top w:val="single" w:sz="4" w:space="0" w:color="auto"/>
              <w:left w:val="single" w:sz="4" w:space="0" w:color="auto"/>
              <w:bottom w:val="single" w:sz="4" w:space="0" w:color="auto"/>
              <w:right w:val="single" w:sz="4" w:space="0" w:color="auto"/>
            </w:tcBorders>
            <w:hideMark/>
          </w:tcPr>
          <w:p w:rsidR="00F84CD4" w:rsidRPr="005273EE" w:rsidRDefault="00F84CD4" w:rsidP="00BA50DA">
            <w:pPr>
              <w:spacing w:after="0" w:line="240" w:lineRule="auto"/>
              <w:jc w:val="both"/>
              <w:rPr>
                <w:rFonts w:ascii="Times New Roman" w:eastAsia="Times New Roman" w:hAnsi="Times New Roman"/>
                <w:lang w:eastAsia="lv-LV"/>
              </w:rPr>
            </w:pPr>
            <w:r w:rsidRPr="005273EE">
              <w:rPr>
                <w:rFonts w:ascii="Times New Roman" w:eastAsia="Times New Roman" w:hAnsi="Times New Roman"/>
                <w:lang w:eastAsia="lv-LV"/>
              </w:rPr>
              <w:t xml:space="preserve">Attiecīgā ES tiesību akta panta numurs </w:t>
            </w:r>
          </w:p>
        </w:tc>
        <w:tc>
          <w:tcPr>
            <w:tcW w:w="1360" w:type="dxa"/>
            <w:tcBorders>
              <w:top w:val="single" w:sz="4" w:space="0" w:color="auto"/>
              <w:left w:val="single" w:sz="4" w:space="0" w:color="auto"/>
              <w:bottom w:val="single" w:sz="4" w:space="0" w:color="auto"/>
              <w:right w:val="single" w:sz="4" w:space="0" w:color="auto"/>
            </w:tcBorders>
            <w:hideMark/>
          </w:tcPr>
          <w:p w:rsidR="00F84CD4" w:rsidRPr="005273EE" w:rsidRDefault="00F84CD4" w:rsidP="00BA50DA">
            <w:pPr>
              <w:spacing w:after="0" w:line="240" w:lineRule="auto"/>
              <w:jc w:val="both"/>
              <w:rPr>
                <w:rFonts w:ascii="Times New Roman" w:eastAsia="Times New Roman" w:hAnsi="Times New Roman"/>
                <w:lang w:eastAsia="lv-LV"/>
              </w:rPr>
            </w:pPr>
            <w:r w:rsidRPr="005273EE">
              <w:rPr>
                <w:rFonts w:ascii="Times New Roman" w:eastAsia="Times New Roman" w:hAnsi="Times New Roman"/>
                <w:lang w:eastAsia="lv-LV"/>
              </w:rPr>
              <w:t>Projekta vienība, kas pārņem vai ievieš katru šīs tabulas A ailē minēto ES tiesību akta vienību</w:t>
            </w:r>
          </w:p>
        </w:tc>
        <w:tc>
          <w:tcPr>
            <w:tcW w:w="3400" w:type="dxa"/>
            <w:tcBorders>
              <w:top w:val="single" w:sz="4" w:space="0" w:color="auto"/>
              <w:left w:val="single" w:sz="4" w:space="0" w:color="auto"/>
              <w:bottom w:val="single" w:sz="4" w:space="0" w:color="auto"/>
              <w:right w:val="single" w:sz="4" w:space="0" w:color="auto"/>
            </w:tcBorders>
            <w:hideMark/>
          </w:tcPr>
          <w:p w:rsidR="00F84CD4" w:rsidRPr="005273EE" w:rsidRDefault="00F84CD4" w:rsidP="00BA50DA">
            <w:pPr>
              <w:spacing w:after="0" w:line="240" w:lineRule="auto"/>
              <w:rPr>
                <w:rFonts w:ascii="Times New Roman" w:eastAsia="Times New Roman" w:hAnsi="Times New Roman"/>
                <w:lang w:eastAsia="lv-LV"/>
              </w:rPr>
            </w:pPr>
            <w:r w:rsidRPr="005273EE">
              <w:rPr>
                <w:rFonts w:ascii="Times New Roman" w:eastAsia="Times New Roman" w:hAnsi="Times New Roman"/>
                <w:lang w:eastAsia="lv-LV"/>
              </w:rPr>
              <w:t>Informācija par to, vai šīs tabulas A ailē minētās ES tiesību akta vienības tiek pārņemtas vai ieviestas pilnībā vai daļēji.</w:t>
            </w:r>
          </w:p>
          <w:p w:rsidR="00F84CD4" w:rsidRPr="005273EE" w:rsidRDefault="00F84CD4" w:rsidP="00BA50DA">
            <w:pPr>
              <w:spacing w:after="0" w:line="240" w:lineRule="auto"/>
              <w:rPr>
                <w:rFonts w:ascii="Times New Roman" w:eastAsia="Times New Roman" w:hAnsi="Times New Roman"/>
                <w:lang w:eastAsia="lv-LV"/>
              </w:rPr>
            </w:pPr>
          </w:p>
          <w:p w:rsidR="00F84CD4" w:rsidRPr="005273EE" w:rsidRDefault="00F84CD4" w:rsidP="00BA50DA">
            <w:pPr>
              <w:spacing w:after="0" w:line="240" w:lineRule="auto"/>
              <w:rPr>
                <w:rFonts w:ascii="Times New Roman" w:eastAsia="Times New Roman" w:hAnsi="Times New Roman"/>
                <w:lang w:eastAsia="lv-LV"/>
              </w:rPr>
            </w:pPr>
            <w:r w:rsidRPr="005273EE">
              <w:rPr>
                <w:rFonts w:ascii="Times New Roman" w:eastAsia="Times New Roman" w:hAnsi="Times New Roman"/>
                <w:lang w:eastAsia="lv-LV"/>
              </w:rPr>
              <w:t>Ja attiecīgā ES tiesību akta vienība tiek pārņemta vai ieviesta daļēji, – sniedz attiecīgu skaidrojumu, kā arī precīzi norāda, kad un kādā veidā ES tiesību akta vienība tiks pārņemta vai ieviesta pilnībā.</w:t>
            </w:r>
          </w:p>
          <w:p w:rsidR="00F84CD4" w:rsidRPr="005273EE" w:rsidRDefault="00F84CD4" w:rsidP="00BA50DA">
            <w:pPr>
              <w:spacing w:after="0" w:line="240" w:lineRule="auto"/>
              <w:rPr>
                <w:rFonts w:ascii="Times New Roman" w:eastAsia="Times New Roman" w:hAnsi="Times New Roman"/>
                <w:lang w:eastAsia="lv-LV"/>
              </w:rPr>
            </w:pPr>
          </w:p>
          <w:p w:rsidR="00F84CD4" w:rsidRPr="005273EE" w:rsidRDefault="00F84CD4" w:rsidP="00BA50DA">
            <w:pPr>
              <w:spacing w:after="0" w:line="240" w:lineRule="auto"/>
              <w:rPr>
                <w:rFonts w:ascii="Times New Roman" w:eastAsia="Times New Roman" w:hAnsi="Times New Roman"/>
                <w:lang w:eastAsia="lv-LV"/>
              </w:rPr>
            </w:pPr>
            <w:r w:rsidRPr="005273EE">
              <w:rPr>
                <w:rFonts w:ascii="Times New Roman" w:eastAsia="Times New Roman" w:hAnsi="Times New Roman"/>
                <w:lang w:eastAsia="lv-LV"/>
              </w:rPr>
              <w:t>Norāda institūciju, kas ir atbildīga par šo saistību izpildi pilnībā</w:t>
            </w:r>
          </w:p>
        </w:tc>
        <w:tc>
          <w:tcPr>
            <w:tcW w:w="2693" w:type="dxa"/>
            <w:tcBorders>
              <w:top w:val="single" w:sz="4" w:space="0" w:color="auto"/>
              <w:left w:val="single" w:sz="4" w:space="0" w:color="auto"/>
              <w:bottom w:val="single" w:sz="4" w:space="0" w:color="auto"/>
              <w:right w:val="single" w:sz="4" w:space="0" w:color="auto"/>
            </w:tcBorders>
            <w:hideMark/>
          </w:tcPr>
          <w:p w:rsidR="00F84CD4" w:rsidRPr="005273EE" w:rsidRDefault="00F84CD4" w:rsidP="00BA50DA">
            <w:pPr>
              <w:spacing w:after="0" w:line="240" w:lineRule="auto"/>
              <w:jc w:val="both"/>
              <w:rPr>
                <w:rFonts w:ascii="Times New Roman" w:eastAsia="Times New Roman" w:hAnsi="Times New Roman"/>
                <w:lang w:eastAsia="lv-LV"/>
              </w:rPr>
            </w:pPr>
            <w:r w:rsidRPr="005273EE">
              <w:rPr>
                <w:rFonts w:ascii="Times New Roman" w:eastAsia="Times New Roman" w:hAnsi="Times New Roman"/>
                <w:lang w:eastAsia="lv-LV"/>
              </w:rPr>
              <w:t>Informācija par to, vai šīs tabulas B ailē minētās projekta vienības paredz stingrākas prasības nekā šīs tabulas A ailē minētās ES tiesību akta vienības.</w:t>
            </w:r>
          </w:p>
          <w:p w:rsidR="00F84CD4" w:rsidRPr="005273EE" w:rsidRDefault="00F84CD4" w:rsidP="00BA50DA">
            <w:pPr>
              <w:spacing w:after="0" w:line="240" w:lineRule="auto"/>
              <w:rPr>
                <w:rFonts w:ascii="Times New Roman" w:eastAsia="Times New Roman" w:hAnsi="Times New Roman"/>
                <w:lang w:eastAsia="lv-LV"/>
              </w:rPr>
            </w:pPr>
          </w:p>
          <w:p w:rsidR="00F84CD4" w:rsidRPr="005273EE" w:rsidRDefault="00F84CD4" w:rsidP="00BA50DA">
            <w:pPr>
              <w:spacing w:after="0" w:line="240" w:lineRule="auto"/>
              <w:jc w:val="both"/>
              <w:rPr>
                <w:rFonts w:ascii="Times New Roman" w:eastAsia="Times New Roman" w:hAnsi="Times New Roman"/>
                <w:lang w:eastAsia="lv-LV"/>
              </w:rPr>
            </w:pPr>
            <w:r w:rsidRPr="005273EE">
              <w:rPr>
                <w:rFonts w:ascii="Times New Roman" w:eastAsia="Times New Roman" w:hAnsi="Times New Roman"/>
                <w:lang w:eastAsia="lv-LV"/>
              </w:rPr>
              <w:t>Ja projekts satur stingrākas prasības nekā attiecīgais ES tiesību akts, – norāda pamatojumu un samērīgumu.</w:t>
            </w:r>
          </w:p>
          <w:p w:rsidR="00F84CD4" w:rsidRPr="005273EE" w:rsidRDefault="00F84CD4" w:rsidP="00BA50DA">
            <w:pPr>
              <w:spacing w:after="0" w:line="240" w:lineRule="auto"/>
              <w:rPr>
                <w:rFonts w:ascii="Times New Roman" w:eastAsia="Times New Roman" w:hAnsi="Times New Roman"/>
                <w:lang w:eastAsia="lv-LV"/>
              </w:rPr>
            </w:pPr>
          </w:p>
          <w:p w:rsidR="00F84CD4" w:rsidRPr="005273EE" w:rsidRDefault="00F84CD4" w:rsidP="00BA50DA">
            <w:pPr>
              <w:spacing w:after="0" w:line="240" w:lineRule="auto"/>
              <w:jc w:val="both"/>
              <w:rPr>
                <w:rFonts w:ascii="Times New Roman" w:eastAsia="Times New Roman" w:hAnsi="Times New Roman"/>
                <w:lang w:eastAsia="lv-LV"/>
              </w:rPr>
            </w:pPr>
            <w:r w:rsidRPr="005273EE">
              <w:rPr>
                <w:rFonts w:ascii="Times New Roman" w:eastAsia="Times New Roman" w:hAnsi="Times New Roman"/>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F84CD4" w:rsidRPr="005273EE" w:rsidTr="00E37328">
        <w:trPr>
          <w:trHeight w:val="848"/>
        </w:trPr>
        <w:tc>
          <w:tcPr>
            <w:tcW w:w="2045" w:type="dxa"/>
            <w:tcBorders>
              <w:top w:val="single" w:sz="4" w:space="0" w:color="auto"/>
              <w:left w:val="single" w:sz="4" w:space="0" w:color="auto"/>
              <w:bottom w:val="single" w:sz="4" w:space="0" w:color="auto"/>
              <w:right w:val="single" w:sz="4" w:space="0" w:color="auto"/>
            </w:tcBorders>
            <w:hideMark/>
          </w:tcPr>
          <w:p w:rsidR="00F84CD4" w:rsidRPr="005273EE" w:rsidRDefault="00F84CD4" w:rsidP="00BA50DA">
            <w:pPr>
              <w:spacing w:after="0" w:line="240" w:lineRule="auto"/>
              <w:jc w:val="both"/>
              <w:rPr>
                <w:rFonts w:ascii="Times New Roman" w:eastAsia="Times New Roman" w:hAnsi="Times New Roman"/>
                <w:lang w:eastAsia="lv-LV"/>
              </w:rPr>
            </w:pPr>
            <w:r w:rsidRPr="005273EE">
              <w:rPr>
                <w:rFonts w:ascii="Times New Roman" w:eastAsia="Times New Roman" w:hAnsi="Times New Roman"/>
                <w:lang w:eastAsia="lv-LV"/>
              </w:rPr>
              <w:t xml:space="preserve">Direktīvas 2009/72/EK </w:t>
            </w:r>
            <w:r w:rsidRPr="005273EE">
              <w:rPr>
                <w:rFonts w:ascii="Times New Roman" w:hAnsi="Times New Roman"/>
              </w:rPr>
              <w:t>37.panta 3.punkta a) apakšpunkts un 4.punkta d) apakšpunkts</w:t>
            </w:r>
          </w:p>
        </w:tc>
        <w:tc>
          <w:tcPr>
            <w:tcW w:w="1360" w:type="dxa"/>
            <w:tcBorders>
              <w:top w:val="single" w:sz="4" w:space="0" w:color="auto"/>
              <w:left w:val="single" w:sz="4" w:space="0" w:color="auto"/>
              <w:bottom w:val="single" w:sz="4" w:space="0" w:color="auto"/>
              <w:right w:val="single" w:sz="4" w:space="0" w:color="auto"/>
            </w:tcBorders>
            <w:hideMark/>
          </w:tcPr>
          <w:p w:rsidR="00F84CD4" w:rsidRPr="005273EE" w:rsidRDefault="00F84CD4" w:rsidP="00BA50DA">
            <w:pPr>
              <w:spacing w:after="0" w:line="240" w:lineRule="auto"/>
              <w:jc w:val="center"/>
              <w:rPr>
                <w:rFonts w:ascii="Times New Roman" w:eastAsia="Times New Roman" w:hAnsi="Times New Roman"/>
                <w:lang w:eastAsia="lv-LV"/>
              </w:rPr>
            </w:pPr>
            <w:r w:rsidRPr="005273EE">
              <w:rPr>
                <w:rFonts w:ascii="Times New Roman" w:eastAsia="Times New Roman" w:hAnsi="Times New Roman"/>
                <w:lang w:eastAsia="lv-LV"/>
              </w:rPr>
              <w:t>-</w:t>
            </w:r>
          </w:p>
        </w:tc>
        <w:tc>
          <w:tcPr>
            <w:tcW w:w="3400" w:type="dxa"/>
            <w:tcBorders>
              <w:top w:val="single" w:sz="4" w:space="0" w:color="auto"/>
              <w:left w:val="single" w:sz="4" w:space="0" w:color="auto"/>
              <w:bottom w:val="single" w:sz="4" w:space="0" w:color="auto"/>
              <w:right w:val="single" w:sz="4" w:space="0" w:color="auto"/>
            </w:tcBorders>
            <w:hideMark/>
          </w:tcPr>
          <w:p w:rsidR="00F84CD4" w:rsidRPr="005273EE" w:rsidRDefault="00F84CD4" w:rsidP="00BA50DA">
            <w:pPr>
              <w:spacing w:after="0" w:line="240" w:lineRule="auto"/>
              <w:jc w:val="both"/>
              <w:rPr>
                <w:rFonts w:ascii="Times New Roman" w:eastAsia="Times New Roman" w:hAnsi="Times New Roman"/>
                <w:lang w:eastAsia="lv-LV"/>
              </w:rPr>
            </w:pPr>
            <w:r w:rsidRPr="005273EE">
              <w:rPr>
                <w:rFonts w:ascii="Times New Roman" w:eastAsia="Times New Roman" w:hAnsi="Times New Roman"/>
                <w:lang w:eastAsia="lv-LV"/>
              </w:rPr>
              <w:t>Elektroenerģijas tirgus likuma X nodaļa</w:t>
            </w:r>
          </w:p>
        </w:tc>
        <w:tc>
          <w:tcPr>
            <w:tcW w:w="2693" w:type="dxa"/>
            <w:tcBorders>
              <w:top w:val="single" w:sz="4" w:space="0" w:color="auto"/>
              <w:left w:val="single" w:sz="4" w:space="0" w:color="auto"/>
              <w:bottom w:val="single" w:sz="4" w:space="0" w:color="auto"/>
              <w:right w:val="single" w:sz="4" w:space="0" w:color="auto"/>
            </w:tcBorders>
            <w:hideMark/>
          </w:tcPr>
          <w:p w:rsidR="00F84CD4" w:rsidRPr="005273EE" w:rsidRDefault="00F84CD4" w:rsidP="00BA50DA">
            <w:pPr>
              <w:spacing w:after="0" w:line="240" w:lineRule="auto"/>
              <w:jc w:val="both"/>
              <w:rPr>
                <w:rFonts w:ascii="Times New Roman" w:eastAsia="Times New Roman" w:hAnsi="Times New Roman"/>
                <w:lang w:eastAsia="lv-LV"/>
              </w:rPr>
            </w:pPr>
            <w:r w:rsidRPr="005273EE">
              <w:rPr>
                <w:rFonts w:ascii="Times New Roman" w:eastAsia="Times New Roman" w:hAnsi="Times New Roman"/>
                <w:lang w:eastAsia="lv-LV"/>
              </w:rPr>
              <w:t xml:space="preserve">Nacionālais tiesību akts neparedz stingrākas prasības. </w:t>
            </w:r>
          </w:p>
        </w:tc>
      </w:tr>
      <w:tr w:rsidR="00F84CD4" w:rsidRPr="005273EE" w:rsidTr="00E37328">
        <w:trPr>
          <w:trHeight w:val="848"/>
        </w:trPr>
        <w:tc>
          <w:tcPr>
            <w:tcW w:w="2045" w:type="dxa"/>
            <w:tcBorders>
              <w:top w:val="single" w:sz="4" w:space="0" w:color="auto"/>
              <w:left w:val="single" w:sz="4" w:space="0" w:color="auto"/>
              <w:bottom w:val="single" w:sz="4" w:space="0" w:color="auto"/>
              <w:right w:val="single" w:sz="4" w:space="0" w:color="auto"/>
            </w:tcBorders>
            <w:hideMark/>
          </w:tcPr>
          <w:p w:rsidR="00F84CD4" w:rsidRPr="005273EE" w:rsidRDefault="00F84CD4" w:rsidP="00BA50DA">
            <w:pPr>
              <w:spacing w:after="0" w:line="240" w:lineRule="auto"/>
              <w:jc w:val="both"/>
              <w:rPr>
                <w:rFonts w:ascii="Times New Roman" w:eastAsia="Times New Roman" w:hAnsi="Times New Roman"/>
                <w:lang w:eastAsia="lv-LV"/>
              </w:rPr>
            </w:pPr>
            <w:r w:rsidRPr="005273EE">
              <w:rPr>
                <w:rFonts w:ascii="Times New Roman" w:hAnsi="Times New Roman"/>
              </w:rPr>
              <w:t>Regulas Nr.1227/2011 18.pants</w:t>
            </w:r>
          </w:p>
        </w:tc>
        <w:tc>
          <w:tcPr>
            <w:tcW w:w="1360" w:type="dxa"/>
            <w:tcBorders>
              <w:top w:val="single" w:sz="4" w:space="0" w:color="auto"/>
              <w:left w:val="single" w:sz="4" w:space="0" w:color="auto"/>
              <w:bottom w:val="single" w:sz="4" w:space="0" w:color="auto"/>
              <w:right w:val="single" w:sz="4" w:space="0" w:color="auto"/>
            </w:tcBorders>
            <w:hideMark/>
          </w:tcPr>
          <w:p w:rsidR="00F84CD4" w:rsidRPr="005273EE" w:rsidRDefault="00F84CD4" w:rsidP="00BA50DA">
            <w:pPr>
              <w:spacing w:after="0" w:line="240" w:lineRule="auto"/>
              <w:jc w:val="center"/>
              <w:rPr>
                <w:rFonts w:ascii="Times New Roman" w:eastAsia="Times New Roman" w:hAnsi="Times New Roman"/>
                <w:lang w:eastAsia="lv-LV"/>
              </w:rPr>
            </w:pPr>
            <w:r w:rsidRPr="005273EE">
              <w:rPr>
                <w:rFonts w:ascii="Times New Roman" w:eastAsia="Times New Roman" w:hAnsi="Times New Roman"/>
                <w:lang w:eastAsia="lv-LV"/>
              </w:rPr>
              <w:t>-</w:t>
            </w:r>
          </w:p>
        </w:tc>
        <w:tc>
          <w:tcPr>
            <w:tcW w:w="3400" w:type="dxa"/>
            <w:tcBorders>
              <w:top w:val="single" w:sz="4" w:space="0" w:color="auto"/>
              <w:left w:val="single" w:sz="4" w:space="0" w:color="auto"/>
              <w:bottom w:val="single" w:sz="4" w:space="0" w:color="auto"/>
              <w:right w:val="single" w:sz="4" w:space="0" w:color="auto"/>
            </w:tcBorders>
            <w:hideMark/>
          </w:tcPr>
          <w:p w:rsidR="00F84CD4" w:rsidRPr="005273EE" w:rsidRDefault="00F84CD4" w:rsidP="00BA50DA">
            <w:pPr>
              <w:spacing w:after="0" w:line="240" w:lineRule="auto"/>
              <w:rPr>
                <w:rFonts w:ascii="Times New Roman" w:eastAsia="Times New Roman" w:hAnsi="Times New Roman"/>
                <w:lang w:eastAsia="lv-LV"/>
              </w:rPr>
            </w:pPr>
            <w:r w:rsidRPr="005273EE">
              <w:rPr>
                <w:rFonts w:ascii="Times New Roman" w:eastAsia="Times New Roman" w:hAnsi="Times New Roman"/>
                <w:lang w:eastAsia="lv-LV"/>
              </w:rPr>
              <w:t xml:space="preserve">Elektroenerģijas tirgus likuma  </w:t>
            </w:r>
            <w:r w:rsidRPr="005273EE">
              <w:rPr>
                <w:rFonts w:ascii="Times New Roman" w:hAnsi="Times New Roman"/>
              </w:rPr>
              <w:t>37.</w:t>
            </w:r>
            <w:r w:rsidRPr="005273EE">
              <w:rPr>
                <w:rFonts w:ascii="Times New Roman" w:hAnsi="Times New Roman"/>
                <w:bCs/>
                <w:vertAlign w:val="superscript"/>
              </w:rPr>
              <w:t>5</w:t>
            </w:r>
            <w:r w:rsidRPr="005273EE">
              <w:rPr>
                <w:rFonts w:ascii="Times New Roman" w:hAnsi="Times New Roman"/>
              </w:rPr>
              <w:t xml:space="preserve">pants un </w:t>
            </w:r>
            <w:r w:rsidRPr="005273EE">
              <w:rPr>
                <w:rFonts w:ascii="Times New Roman" w:eastAsia="Times New Roman" w:hAnsi="Times New Roman"/>
                <w:lang w:eastAsia="lv-LV"/>
              </w:rPr>
              <w:t>X nodaļa</w:t>
            </w:r>
          </w:p>
        </w:tc>
        <w:tc>
          <w:tcPr>
            <w:tcW w:w="2693" w:type="dxa"/>
            <w:tcBorders>
              <w:top w:val="single" w:sz="4" w:space="0" w:color="auto"/>
              <w:left w:val="single" w:sz="4" w:space="0" w:color="auto"/>
              <w:bottom w:val="single" w:sz="4" w:space="0" w:color="auto"/>
              <w:right w:val="single" w:sz="4" w:space="0" w:color="auto"/>
            </w:tcBorders>
            <w:hideMark/>
          </w:tcPr>
          <w:p w:rsidR="00F84CD4" w:rsidRPr="005273EE" w:rsidRDefault="00F84CD4" w:rsidP="00BA50DA">
            <w:pPr>
              <w:spacing w:after="0" w:line="240" w:lineRule="auto"/>
              <w:jc w:val="both"/>
              <w:rPr>
                <w:rFonts w:ascii="Times New Roman" w:eastAsia="Times New Roman" w:hAnsi="Times New Roman"/>
                <w:lang w:eastAsia="lv-LV"/>
              </w:rPr>
            </w:pPr>
            <w:r w:rsidRPr="005273EE">
              <w:rPr>
                <w:rFonts w:ascii="Times New Roman" w:eastAsia="Times New Roman" w:hAnsi="Times New Roman"/>
                <w:lang w:eastAsia="lv-LV"/>
              </w:rPr>
              <w:t xml:space="preserve">Nacionālais tiesību akts neparedz stingrākas prasības </w:t>
            </w:r>
          </w:p>
          <w:p w:rsidR="00F84CD4" w:rsidRPr="005273EE" w:rsidRDefault="00F84CD4" w:rsidP="00BA50DA">
            <w:pPr>
              <w:spacing w:after="0" w:line="240" w:lineRule="auto"/>
              <w:jc w:val="both"/>
              <w:rPr>
                <w:rFonts w:ascii="Times New Roman" w:eastAsia="Times New Roman" w:hAnsi="Times New Roman"/>
                <w:lang w:eastAsia="lv-LV"/>
              </w:rPr>
            </w:pPr>
          </w:p>
        </w:tc>
      </w:tr>
    </w:tbl>
    <w:p w:rsidR="00F84CD4" w:rsidRPr="00EF7A4D" w:rsidRDefault="00F84CD4" w:rsidP="00A0154D">
      <w:pPr>
        <w:pStyle w:val="tvhtml"/>
        <w:spacing w:before="0" w:beforeAutospacing="0" w:after="0" w:afterAutospacing="0"/>
        <w:jc w:val="center"/>
        <w:rPr>
          <w:rFonts w:ascii="Times New Roman" w:hAnsi="Times New Roman"/>
          <w:iCs/>
          <w:sz w:val="22"/>
          <w:szCs w:val="22"/>
        </w:rPr>
      </w:pPr>
    </w:p>
    <w:tbl>
      <w:tblPr>
        <w:tblW w:w="5278" w:type="pct"/>
        <w:tblInd w:w="-25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24"/>
        <w:gridCol w:w="3021"/>
        <w:gridCol w:w="6094"/>
      </w:tblGrid>
      <w:tr w:rsidR="00F84CD4" w:rsidTr="00F84CD4">
        <w:tc>
          <w:tcPr>
            <w:tcW w:w="5000" w:type="pct"/>
            <w:gridSpan w:val="3"/>
            <w:tcBorders>
              <w:top w:val="single" w:sz="6" w:space="0" w:color="000000"/>
              <w:left w:val="single" w:sz="6" w:space="0" w:color="000000"/>
              <w:bottom w:val="outset" w:sz="6" w:space="0" w:color="000000"/>
              <w:right w:val="single" w:sz="6" w:space="0" w:color="000000"/>
            </w:tcBorders>
            <w:hideMark/>
          </w:tcPr>
          <w:p w:rsidR="00F84CD4" w:rsidRDefault="00F84CD4">
            <w:pPr>
              <w:pStyle w:val="tvhtml1"/>
              <w:jc w:val="center"/>
              <w:rPr>
                <w:rFonts w:ascii="Times New Roman" w:hAnsi="Times New Roman"/>
                <w:sz w:val="22"/>
                <w:szCs w:val="22"/>
              </w:rPr>
            </w:pPr>
            <w:r>
              <w:rPr>
                <w:rFonts w:ascii="Times New Roman" w:hAnsi="Times New Roman"/>
                <w:b/>
                <w:bCs/>
                <w:sz w:val="22"/>
                <w:szCs w:val="22"/>
              </w:rPr>
              <w:t>VI. Sabiedrības līdzdalība un šīs līdzdalības rezultāti</w:t>
            </w:r>
          </w:p>
        </w:tc>
      </w:tr>
      <w:tr w:rsidR="00F84CD4" w:rsidTr="00F84CD4">
        <w:tc>
          <w:tcPr>
            <w:tcW w:w="272" w:type="pct"/>
            <w:tcBorders>
              <w:top w:val="outset" w:sz="6" w:space="0" w:color="000000"/>
              <w:left w:val="outset" w:sz="6" w:space="0" w:color="000000"/>
              <w:bottom w:val="outset" w:sz="6" w:space="0" w:color="000000"/>
              <w:right w:val="outset" w:sz="6" w:space="0" w:color="000000"/>
            </w:tcBorders>
            <w:hideMark/>
          </w:tcPr>
          <w:p w:rsidR="00F84CD4" w:rsidRDefault="00F84CD4">
            <w:pPr>
              <w:pStyle w:val="NormalWeb"/>
              <w:spacing w:before="0" w:beforeAutospacing="0" w:after="0" w:afterAutospacing="0"/>
              <w:rPr>
                <w:sz w:val="22"/>
                <w:szCs w:val="22"/>
              </w:rPr>
            </w:pPr>
            <w:r>
              <w:rPr>
                <w:sz w:val="22"/>
                <w:szCs w:val="22"/>
              </w:rPr>
              <w:t>1.</w:t>
            </w:r>
          </w:p>
        </w:tc>
        <w:tc>
          <w:tcPr>
            <w:tcW w:w="1567" w:type="pct"/>
            <w:tcBorders>
              <w:top w:val="outset" w:sz="6" w:space="0" w:color="000000"/>
              <w:left w:val="outset" w:sz="6" w:space="0" w:color="000000"/>
              <w:bottom w:val="outset" w:sz="6" w:space="0" w:color="000000"/>
              <w:right w:val="outset" w:sz="6" w:space="0" w:color="000000"/>
            </w:tcBorders>
            <w:hideMark/>
          </w:tcPr>
          <w:p w:rsidR="00F84CD4" w:rsidRDefault="00F84CD4">
            <w:pPr>
              <w:pStyle w:val="tvhtml1"/>
              <w:spacing w:before="0" w:beforeAutospacing="0" w:line="240" w:lineRule="auto"/>
              <w:rPr>
                <w:rFonts w:ascii="Times New Roman" w:hAnsi="Times New Roman"/>
                <w:sz w:val="22"/>
                <w:szCs w:val="22"/>
              </w:rPr>
            </w:pPr>
            <w:r>
              <w:rPr>
                <w:rFonts w:ascii="Times New Roman" w:hAnsi="Times New Roman"/>
                <w:sz w:val="22"/>
                <w:szCs w:val="22"/>
              </w:rPr>
              <w:t>Sabiedrības informēšana par projekta izstrādes uzsākšanu</w:t>
            </w:r>
          </w:p>
        </w:tc>
        <w:tc>
          <w:tcPr>
            <w:tcW w:w="3161" w:type="pct"/>
            <w:tcBorders>
              <w:top w:val="outset" w:sz="6" w:space="0" w:color="000000"/>
              <w:left w:val="outset" w:sz="6" w:space="0" w:color="000000"/>
              <w:bottom w:val="outset" w:sz="6" w:space="0" w:color="000000"/>
              <w:right w:val="outset" w:sz="6" w:space="0" w:color="000000"/>
            </w:tcBorders>
            <w:hideMark/>
          </w:tcPr>
          <w:p w:rsidR="00F84CD4" w:rsidRDefault="00F84CD4">
            <w:pPr>
              <w:pStyle w:val="NormalWeb"/>
              <w:spacing w:before="0" w:beforeAutospacing="0" w:after="0" w:afterAutospacing="0"/>
              <w:rPr>
                <w:sz w:val="22"/>
                <w:szCs w:val="22"/>
              </w:rPr>
            </w:pPr>
            <w:r>
              <w:rPr>
                <w:sz w:val="22"/>
                <w:szCs w:val="22"/>
              </w:rPr>
              <w:t>Tika sagatavots un iesniegts Saeimā atbilstošs informatīvais ziņojums.</w:t>
            </w:r>
          </w:p>
        </w:tc>
      </w:tr>
      <w:tr w:rsidR="00F84CD4" w:rsidTr="00F84CD4">
        <w:trPr>
          <w:trHeight w:val="35"/>
        </w:trPr>
        <w:tc>
          <w:tcPr>
            <w:tcW w:w="272" w:type="pct"/>
            <w:tcBorders>
              <w:top w:val="outset" w:sz="6" w:space="0" w:color="000000"/>
              <w:left w:val="outset" w:sz="6" w:space="0" w:color="000000"/>
              <w:bottom w:val="outset" w:sz="6" w:space="0" w:color="000000"/>
              <w:right w:val="outset" w:sz="6" w:space="0" w:color="000000"/>
            </w:tcBorders>
            <w:hideMark/>
          </w:tcPr>
          <w:p w:rsidR="00F84CD4" w:rsidRDefault="00F84CD4">
            <w:pPr>
              <w:pStyle w:val="NormalWeb"/>
              <w:spacing w:before="0" w:beforeAutospacing="0" w:after="0" w:afterAutospacing="0"/>
              <w:rPr>
                <w:sz w:val="22"/>
                <w:szCs w:val="22"/>
              </w:rPr>
            </w:pPr>
            <w:r>
              <w:rPr>
                <w:sz w:val="22"/>
                <w:szCs w:val="22"/>
              </w:rPr>
              <w:t>2.</w:t>
            </w:r>
          </w:p>
        </w:tc>
        <w:tc>
          <w:tcPr>
            <w:tcW w:w="1567" w:type="pct"/>
            <w:tcBorders>
              <w:top w:val="outset" w:sz="6" w:space="0" w:color="000000"/>
              <w:left w:val="outset" w:sz="6" w:space="0" w:color="000000"/>
              <w:bottom w:val="outset" w:sz="6" w:space="0" w:color="000000"/>
              <w:right w:val="outset" w:sz="6" w:space="0" w:color="000000"/>
            </w:tcBorders>
          </w:tcPr>
          <w:p w:rsidR="00F84CD4" w:rsidRDefault="00F84CD4">
            <w:pPr>
              <w:pStyle w:val="tvhtml1"/>
              <w:spacing w:before="0" w:beforeAutospacing="0" w:line="240" w:lineRule="auto"/>
              <w:rPr>
                <w:rFonts w:ascii="Times New Roman" w:hAnsi="Times New Roman"/>
                <w:sz w:val="22"/>
                <w:szCs w:val="22"/>
              </w:rPr>
            </w:pPr>
            <w:r>
              <w:rPr>
                <w:rFonts w:ascii="Times New Roman" w:hAnsi="Times New Roman"/>
                <w:sz w:val="22"/>
                <w:szCs w:val="22"/>
              </w:rPr>
              <w:t>Sabiedrības līdzdalība projekta izstrādē</w:t>
            </w:r>
          </w:p>
          <w:p w:rsidR="00F84CD4" w:rsidRDefault="00F84CD4">
            <w:pPr>
              <w:pStyle w:val="NormalWeb"/>
              <w:spacing w:before="0" w:beforeAutospacing="0" w:after="0" w:afterAutospacing="0"/>
              <w:rPr>
                <w:sz w:val="22"/>
                <w:szCs w:val="22"/>
              </w:rPr>
            </w:pPr>
          </w:p>
        </w:tc>
        <w:tc>
          <w:tcPr>
            <w:tcW w:w="3161" w:type="pct"/>
            <w:tcBorders>
              <w:top w:val="outset" w:sz="6" w:space="0" w:color="000000"/>
              <w:left w:val="outset" w:sz="6" w:space="0" w:color="000000"/>
              <w:bottom w:val="outset" w:sz="6" w:space="0" w:color="000000"/>
              <w:right w:val="outset" w:sz="6" w:space="0" w:color="000000"/>
            </w:tcBorders>
            <w:hideMark/>
          </w:tcPr>
          <w:p w:rsidR="00F84CD4" w:rsidRDefault="00F84CD4">
            <w:pPr>
              <w:pStyle w:val="NormalWeb"/>
              <w:spacing w:before="0" w:beforeAutospacing="0" w:after="0" w:afterAutospacing="0"/>
              <w:rPr>
                <w:sz w:val="22"/>
                <w:szCs w:val="22"/>
              </w:rPr>
            </w:pPr>
            <w:r>
              <w:rPr>
                <w:sz w:val="22"/>
                <w:szCs w:val="22"/>
              </w:rPr>
              <w:t>2013.gada 4.janvārī notika Elektroenerģijas tirgus konsultatīvās padomes sēde, kuras laikā tika sniegti priekšlikumi likumprojekta izstrādei.</w:t>
            </w:r>
          </w:p>
        </w:tc>
      </w:tr>
      <w:tr w:rsidR="00F84CD4" w:rsidTr="00F84CD4">
        <w:trPr>
          <w:trHeight w:val="35"/>
        </w:trPr>
        <w:tc>
          <w:tcPr>
            <w:tcW w:w="272" w:type="pct"/>
            <w:tcBorders>
              <w:top w:val="outset" w:sz="6" w:space="0" w:color="000000"/>
              <w:left w:val="outset" w:sz="6" w:space="0" w:color="000000"/>
              <w:bottom w:val="outset" w:sz="6" w:space="0" w:color="000000"/>
              <w:right w:val="outset" w:sz="6" w:space="0" w:color="000000"/>
            </w:tcBorders>
            <w:hideMark/>
          </w:tcPr>
          <w:p w:rsidR="00F84CD4" w:rsidRDefault="00F84CD4">
            <w:pPr>
              <w:pStyle w:val="NormalWeb"/>
              <w:spacing w:before="0" w:beforeAutospacing="0" w:after="0" w:afterAutospacing="0"/>
              <w:rPr>
                <w:sz w:val="22"/>
                <w:szCs w:val="22"/>
              </w:rPr>
            </w:pPr>
            <w:r>
              <w:rPr>
                <w:sz w:val="22"/>
                <w:szCs w:val="22"/>
              </w:rPr>
              <w:t>3.</w:t>
            </w:r>
          </w:p>
        </w:tc>
        <w:tc>
          <w:tcPr>
            <w:tcW w:w="1567" w:type="pct"/>
            <w:tcBorders>
              <w:top w:val="outset" w:sz="6" w:space="0" w:color="000000"/>
              <w:left w:val="outset" w:sz="6" w:space="0" w:color="000000"/>
              <w:bottom w:val="outset" w:sz="6" w:space="0" w:color="000000"/>
              <w:right w:val="outset" w:sz="6" w:space="0" w:color="000000"/>
            </w:tcBorders>
          </w:tcPr>
          <w:p w:rsidR="00F84CD4" w:rsidRDefault="00F84CD4">
            <w:pPr>
              <w:pStyle w:val="tvhtml1"/>
              <w:spacing w:before="0" w:beforeAutospacing="0" w:line="240" w:lineRule="auto"/>
              <w:rPr>
                <w:rFonts w:ascii="Times New Roman" w:hAnsi="Times New Roman"/>
                <w:sz w:val="22"/>
                <w:szCs w:val="22"/>
              </w:rPr>
            </w:pPr>
            <w:r>
              <w:rPr>
                <w:rFonts w:ascii="Times New Roman" w:hAnsi="Times New Roman"/>
                <w:sz w:val="22"/>
                <w:szCs w:val="22"/>
              </w:rPr>
              <w:t>Sabiedrības līdzdalības rezultāti</w:t>
            </w:r>
          </w:p>
          <w:p w:rsidR="00F84CD4" w:rsidRDefault="00F84CD4">
            <w:pPr>
              <w:pStyle w:val="NormalWeb"/>
              <w:tabs>
                <w:tab w:val="left" w:pos="1503"/>
              </w:tabs>
              <w:spacing w:before="0" w:beforeAutospacing="0" w:after="0" w:afterAutospacing="0"/>
              <w:rPr>
                <w:sz w:val="22"/>
                <w:szCs w:val="22"/>
              </w:rPr>
            </w:pPr>
          </w:p>
        </w:tc>
        <w:tc>
          <w:tcPr>
            <w:tcW w:w="3161" w:type="pct"/>
            <w:tcBorders>
              <w:top w:val="outset" w:sz="6" w:space="0" w:color="000000"/>
              <w:left w:val="outset" w:sz="6" w:space="0" w:color="000000"/>
              <w:bottom w:val="outset" w:sz="6" w:space="0" w:color="000000"/>
              <w:right w:val="outset" w:sz="6" w:space="0" w:color="000000"/>
            </w:tcBorders>
            <w:hideMark/>
          </w:tcPr>
          <w:p w:rsidR="00F84CD4" w:rsidRDefault="00F84CD4">
            <w:pPr>
              <w:pStyle w:val="NormalWeb"/>
              <w:spacing w:before="0" w:beforeAutospacing="0" w:after="0" w:afterAutospacing="0"/>
              <w:rPr>
                <w:sz w:val="22"/>
                <w:szCs w:val="22"/>
              </w:rPr>
            </w:pPr>
            <w:r>
              <w:rPr>
                <w:sz w:val="22"/>
                <w:szCs w:val="22"/>
              </w:rPr>
              <w:t>Nav</w:t>
            </w:r>
          </w:p>
        </w:tc>
      </w:tr>
      <w:tr w:rsidR="00F84CD4" w:rsidTr="00F84CD4">
        <w:trPr>
          <w:trHeight w:val="35"/>
        </w:trPr>
        <w:tc>
          <w:tcPr>
            <w:tcW w:w="272" w:type="pct"/>
            <w:tcBorders>
              <w:top w:val="outset" w:sz="6" w:space="0" w:color="000000"/>
              <w:left w:val="outset" w:sz="6" w:space="0" w:color="000000"/>
              <w:bottom w:val="outset" w:sz="6" w:space="0" w:color="000000"/>
              <w:right w:val="outset" w:sz="6" w:space="0" w:color="000000"/>
            </w:tcBorders>
            <w:hideMark/>
          </w:tcPr>
          <w:p w:rsidR="00F84CD4" w:rsidRDefault="00F84CD4">
            <w:pPr>
              <w:pStyle w:val="NormalWeb"/>
              <w:spacing w:before="0" w:beforeAutospacing="0" w:after="0" w:afterAutospacing="0"/>
              <w:rPr>
                <w:sz w:val="22"/>
                <w:szCs w:val="22"/>
              </w:rPr>
            </w:pPr>
            <w:r>
              <w:rPr>
                <w:sz w:val="22"/>
                <w:szCs w:val="22"/>
              </w:rPr>
              <w:t>4.</w:t>
            </w:r>
          </w:p>
        </w:tc>
        <w:tc>
          <w:tcPr>
            <w:tcW w:w="1567" w:type="pct"/>
            <w:tcBorders>
              <w:top w:val="outset" w:sz="6" w:space="0" w:color="000000"/>
              <w:left w:val="outset" w:sz="6" w:space="0" w:color="000000"/>
              <w:bottom w:val="outset" w:sz="6" w:space="0" w:color="000000"/>
              <w:right w:val="outset" w:sz="6" w:space="0" w:color="000000"/>
            </w:tcBorders>
          </w:tcPr>
          <w:p w:rsidR="00F84CD4" w:rsidRDefault="00F84CD4">
            <w:pPr>
              <w:pStyle w:val="tvhtml1"/>
              <w:spacing w:before="0" w:beforeAutospacing="0" w:line="240" w:lineRule="auto"/>
              <w:rPr>
                <w:rFonts w:ascii="Times New Roman" w:hAnsi="Times New Roman"/>
                <w:sz w:val="22"/>
                <w:szCs w:val="22"/>
              </w:rPr>
            </w:pPr>
            <w:r>
              <w:rPr>
                <w:rFonts w:ascii="Times New Roman" w:hAnsi="Times New Roman"/>
                <w:sz w:val="22"/>
                <w:szCs w:val="22"/>
              </w:rPr>
              <w:t>Saeimas un ekspertu līdzdalība</w:t>
            </w:r>
          </w:p>
          <w:p w:rsidR="00F84CD4" w:rsidRDefault="00F84CD4">
            <w:pPr>
              <w:pStyle w:val="NormalWeb"/>
              <w:spacing w:before="0" w:beforeAutospacing="0" w:after="0" w:afterAutospacing="0"/>
              <w:rPr>
                <w:sz w:val="22"/>
                <w:szCs w:val="22"/>
              </w:rPr>
            </w:pPr>
          </w:p>
        </w:tc>
        <w:tc>
          <w:tcPr>
            <w:tcW w:w="3161" w:type="pct"/>
            <w:tcBorders>
              <w:top w:val="outset" w:sz="6" w:space="0" w:color="000000"/>
              <w:left w:val="outset" w:sz="6" w:space="0" w:color="000000"/>
              <w:bottom w:val="outset" w:sz="6" w:space="0" w:color="000000"/>
              <w:right w:val="outset" w:sz="6" w:space="0" w:color="000000"/>
            </w:tcBorders>
            <w:hideMark/>
          </w:tcPr>
          <w:p w:rsidR="00F84CD4" w:rsidRDefault="00F84CD4">
            <w:pPr>
              <w:pStyle w:val="NormalWeb"/>
              <w:spacing w:before="0" w:beforeAutospacing="0" w:after="0" w:afterAutospacing="0"/>
              <w:rPr>
                <w:sz w:val="22"/>
                <w:szCs w:val="22"/>
              </w:rPr>
            </w:pPr>
            <w:r>
              <w:rPr>
                <w:sz w:val="22"/>
                <w:szCs w:val="22"/>
              </w:rPr>
              <w:t>Nav</w:t>
            </w:r>
          </w:p>
        </w:tc>
      </w:tr>
      <w:tr w:rsidR="00F84CD4" w:rsidTr="00F84CD4">
        <w:trPr>
          <w:trHeight w:val="35"/>
        </w:trPr>
        <w:tc>
          <w:tcPr>
            <w:tcW w:w="272" w:type="pct"/>
            <w:tcBorders>
              <w:top w:val="outset" w:sz="6" w:space="0" w:color="000000"/>
              <w:left w:val="outset" w:sz="6" w:space="0" w:color="000000"/>
              <w:bottom w:val="outset" w:sz="6" w:space="0" w:color="000000"/>
              <w:right w:val="outset" w:sz="6" w:space="0" w:color="000000"/>
            </w:tcBorders>
            <w:hideMark/>
          </w:tcPr>
          <w:p w:rsidR="00F84CD4" w:rsidRDefault="00F84CD4">
            <w:pPr>
              <w:pStyle w:val="NormalWeb"/>
              <w:spacing w:before="0" w:beforeAutospacing="0" w:after="0" w:afterAutospacing="0"/>
              <w:rPr>
                <w:sz w:val="22"/>
                <w:szCs w:val="22"/>
              </w:rPr>
            </w:pPr>
            <w:r>
              <w:rPr>
                <w:sz w:val="22"/>
                <w:szCs w:val="22"/>
              </w:rPr>
              <w:t>5.</w:t>
            </w:r>
          </w:p>
        </w:tc>
        <w:tc>
          <w:tcPr>
            <w:tcW w:w="1567" w:type="pct"/>
            <w:tcBorders>
              <w:top w:val="outset" w:sz="6" w:space="0" w:color="000000"/>
              <w:left w:val="outset" w:sz="6" w:space="0" w:color="000000"/>
              <w:bottom w:val="outset" w:sz="6" w:space="0" w:color="000000"/>
              <w:right w:val="outset" w:sz="6" w:space="0" w:color="000000"/>
            </w:tcBorders>
          </w:tcPr>
          <w:p w:rsidR="00F84CD4" w:rsidRDefault="00F84CD4">
            <w:pPr>
              <w:pStyle w:val="tvhtml1"/>
              <w:spacing w:before="0" w:beforeAutospacing="0" w:line="240" w:lineRule="auto"/>
              <w:rPr>
                <w:rFonts w:ascii="Times New Roman" w:hAnsi="Times New Roman"/>
                <w:sz w:val="22"/>
                <w:szCs w:val="22"/>
              </w:rPr>
            </w:pPr>
            <w:r>
              <w:rPr>
                <w:rFonts w:ascii="Times New Roman" w:hAnsi="Times New Roman"/>
                <w:sz w:val="22"/>
                <w:szCs w:val="22"/>
              </w:rPr>
              <w:t>Cita informācija</w:t>
            </w:r>
          </w:p>
          <w:p w:rsidR="00F84CD4" w:rsidRDefault="00F84CD4">
            <w:pPr>
              <w:pStyle w:val="NormalWeb"/>
              <w:spacing w:before="0" w:beforeAutospacing="0" w:after="0" w:afterAutospacing="0"/>
              <w:rPr>
                <w:sz w:val="22"/>
                <w:szCs w:val="22"/>
              </w:rPr>
            </w:pPr>
          </w:p>
        </w:tc>
        <w:tc>
          <w:tcPr>
            <w:tcW w:w="3161" w:type="pct"/>
            <w:tcBorders>
              <w:top w:val="outset" w:sz="6" w:space="0" w:color="000000"/>
              <w:left w:val="outset" w:sz="6" w:space="0" w:color="000000"/>
              <w:bottom w:val="outset" w:sz="6" w:space="0" w:color="000000"/>
              <w:right w:val="outset" w:sz="6" w:space="0" w:color="000000"/>
            </w:tcBorders>
            <w:hideMark/>
          </w:tcPr>
          <w:p w:rsidR="00F84CD4" w:rsidRDefault="00F84CD4">
            <w:pPr>
              <w:pStyle w:val="NormalWeb"/>
              <w:spacing w:before="0" w:beforeAutospacing="0" w:after="0" w:afterAutospacing="0"/>
              <w:rPr>
                <w:sz w:val="22"/>
                <w:szCs w:val="22"/>
              </w:rPr>
            </w:pPr>
            <w:r>
              <w:rPr>
                <w:sz w:val="22"/>
                <w:szCs w:val="22"/>
              </w:rPr>
              <w:t xml:space="preserve">Ekonomikas ministrijā ir izstrādāts komunikāciju plāns sakarā ar elektroenerģijas tirgus atvēršanu. Plānoti preses </w:t>
            </w:r>
            <w:proofErr w:type="spellStart"/>
            <w:r>
              <w:rPr>
                <w:sz w:val="22"/>
                <w:szCs w:val="22"/>
              </w:rPr>
              <w:t>brīfingi</w:t>
            </w:r>
            <w:proofErr w:type="spellEnd"/>
            <w:r>
              <w:rPr>
                <w:sz w:val="22"/>
                <w:szCs w:val="22"/>
              </w:rPr>
              <w:t xml:space="preserve"> un </w:t>
            </w:r>
            <w:proofErr w:type="spellStart"/>
            <w:r>
              <w:rPr>
                <w:sz w:val="22"/>
                <w:szCs w:val="22"/>
              </w:rPr>
              <w:t>relīzes</w:t>
            </w:r>
            <w:proofErr w:type="spellEnd"/>
            <w:r>
              <w:rPr>
                <w:sz w:val="22"/>
                <w:szCs w:val="22"/>
              </w:rPr>
              <w:t xml:space="preserve"> par grozījumiem Elektroenerģijas tirdzniecības likumā. Tāpat paredzēta semināra rīkošana plašsaziņas līdzekļu pārstāvjiem ar tiešraidi internetā, publiskā diskusija, komunikācija caur sociāliem tīkliem, elektroenerģijas tirgum veltītas mājas lapas izstrāde un citi pasākumi.</w:t>
            </w:r>
          </w:p>
        </w:tc>
      </w:tr>
    </w:tbl>
    <w:p w:rsidR="00122ED0" w:rsidRDefault="00122ED0" w:rsidP="00A0154D">
      <w:pPr>
        <w:pStyle w:val="NormalWeb"/>
        <w:spacing w:before="0" w:beforeAutospacing="0" w:after="0" w:afterAutospacing="0"/>
        <w:rPr>
          <w:sz w:val="28"/>
        </w:rPr>
      </w:pPr>
    </w:p>
    <w:tbl>
      <w:tblPr>
        <w:tblStyle w:val="TableGrid"/>
        <w:tblW w:w="0" w:type="auto"/>
        <w:tblLook w:val="04A0" w:firstRow="1" w:lastRow="0" w:firstColumn="1" w:lastColumn="0" w:noHBand="0" w:noVBand="1"/>
      </w:tblPr>
      <w:tblGrid>
        <w:gridCol w:w="534"/>
        <w:gridCol w:w="2835"/>
        <w:gridCol w:w="5918"/>
      </w:tblGrid>
      <w:tr w:rsidR="00F84CD4" w:rsidTr="00BA50DA">
        <w:tc>
          <w:tcPr>
            <w:tcW w:w="9287" w:type="dxa"/>
            <w:gridSpan w:val="3"/>
          </w:tcPr>
          <w:p w:rsidR="00F84CD4" w:rsidRPr="00F84CD4" w:rsidRDefault="00F84CD4" w:rsidP="00BA50DA">
            <w:pPr>
              <w:pStyle w:val="tvhtml"/>
              <w:spacing w:before="0" w:beforeAutospacing="0" w:after="0" w:afterAutospacing="0"/>
              <w:jc w:val="center"/>
              <w:rPr>
                <w:rFonts w:ascii="Times New Roman" w:hAnsi="Times New Roman"/>
                <w:b/>
                <w:iCs/>
                <w:sz w:val="24"/>
                <w:szCs w:val="24"/>
              </w:rPr>
            </w:pPr>
            <w:r w:rsidRPr="00F84CD4">
              <w:rPr>
                <w:rFonts w:ascii="Times New Roman" w:hAnsi="Times New Roman"/>
                <w:b/>
                <w:sz w:val="24"/>
                <w:szCs w:val="24"/>
              </w:rPr>
              <w:t>VII. Tiesību akta projekta izpildes nodrošināšana un tās ietekme uz institūcijām</w:t>
            </w:r>
          </w:p>
        </w:tc>
      </w:tr>
      <w:tr w:rsidR="00F84CD4" w:rsidTr="00BA50DA">
        <w:tc>
          <w:tcPr>
            <w:tcW w:w="534" w:type="dxa"/>
          </w:tcPr>
          <w:p w:rsidR="00F84CD4" w:rsidRDefault="00F84CD4" w:rsidP="00BA50DA">
            <w:pPr>
              <w:pStyle w:val="naisnod"/>
              <w:spacing w:before="0" w:after="0"/>
              <w:ind w:left="57" w:right="57"/>
              <w:jc w:val="left"/>
              <w:rPr>
                <w:b w:val="0"/>
                <w:sz w:val="22"/>
                <w:szCs w:val="22"/>
              </w:rPr>
            </w:pPr>
            <w:r>
              <w:rPr>
                <w:b w:val="0"/>
                <w:sz w:val="22"/>
                <w:szCs w:val="22"/>
              </w:rPr>
              <w:t>1.</w:t>
            </w:r>
          </w:p>
        </w:tc>
        <w:tc>
          <w:tcPr>
            <w:tcW w:w="2835" w:type="dxa"/>
          </w:tcPr>
          <w:p w:rsidR="00F84CD4" w:rsidRDefault="00F84CD4" w:rsidP="00BA50DA">
            <w:pPr>
              <w:pStyle w:val="naisf"/>
              <w:spacing w:before="0" w:after="0"/>
              <w:ind w:left="57" w:right="57" w:firstLine="0"/>
              <w:jc w:val="left"/>
              <w:rPr>
                <w:sz w:val="22"/>
                <w:szCs w:val="22"/>
                <w:lang w:eastAsia="lv-LV"/>
              </w:rPr>
            </w:pPr>
            <w:r>
              <w:rPr>
                <w:sz w:val="22"/>
                <w:szCs w:val="22"/>
                <w:lang w:eastAsia="lv-LV"/>
              </w:rPr>
              <w:t xml:space="preserve">Projekta izpildē iesaistītās institūcijas </w:t>
            </w:r>
          </w:p>
        </w:tc>
        <w:tc>
          <w:tcPr>
            <w:tcW w:w="5918" w:type="dxa"/>
          </w:tcPr>
          <w:p w:rsidR="00F84CD4" w:rsidRDefault="00F84CD4" w:rsidP="00BA50DA">
            <w:pPr>
              <w:pStyle w:val="naisnod"/>
              <w:spacing w:before="0" w:after="0"/>
              <w:ind w:left="57" w:right="57"/>
              <w:jc w:val="both"/>
              <w:rPr>
                <w:b w:val="0"/>
                <w:sz w:val="22"/>
                <w:szCs w:val="22"/>
              </w:rPr>
            </w:pPr>
            <w:r>
              <w:rPr>
                <w:b w:val="0"/>
                <w:sz w:val="22"/>
                <w:szCs w:val="22"/>
              </w:rPr>
              <w:t>Projekta izpildi nodrošina elektroenerģijas, elektroenerģijas sadales sistēmas operatori,  elektroenerģijas tirgotāji un Sabiedrisko pakalpojumu regulēšanas komisija.</w:t>
            </w:r>
          </w:p>
        </w:tc>
      </w:tr>
      <w:tr w:rsidR="00F84CD4" w:rsidTr="00BA50DA">
        <w:tc>
          <w:tcPr>
            <w:tcW w:w="534" w:type="dxa"/>
          </w:tcPr>
          <w:p w:rsidR="00F84CD4" w:rsidRDefault="00F84CD4" w:rsidP="00BA50DA">
            <w:pPr>
              <w:pStyle w:val="naisnod"/>
              <w:spacing w:before="0" w:after="0"/>
              <w:ind w:left="57" w:right="57"/>
              <w:jc w:val="left"/>
              <w:rPr>
                <w:b w:val="0"/>
                <w:sz w:val="22"/>
                <w:szCs w:val="22"/>
              </w:rPr>
            </w:pPr>
            <w:r>
              <w:rPr>
                <w:b w:val="0"/>
                <w:sz w:val="22"/>
                <w:szCs w:val="22"/>
              </w:rPr>
              <w:t>2.</w:t>
            </w:r>
          </w:p>
        </w:tc>
        <w:tc>
          <w:tcPr>
            <w:tcW w:w="2835" w:type="dxa"/>
          </w:tcPr>
          <w:p w:rsidR="00F84CD4" w:rsidRDefault="00F84CD4" w:rsidP="00BA50DA">
            <w:pPr>
              <w:pStyle w:val="naisf"/>
              <w:spacing w:before="0" w:after="0"/>
              <w:ind w:left="57" w:right="57" w:firstLine="0"/>
              <w:jc w:val="left"/>
              <w:rPr>
                <w:sz w:val="22"/>
                <w:szCs w:val="22"/>
                <w:lang w:eastAsia="lv-LV"/>
              </w:rPr>
            </w:pPr>
            <w:r>
              <w:rPr>
                <w:sz w:val="22"/>
                <w:szCs w:val="22"/>
                <w:lang w:eastAsia="lv-LV"/>
              </w:rPr>
              <w:t xml:space="preserve">Projekta izpildes ietekme uz pārvaldes funkcijām </w:t>
            </w:r>
          </w:p>
        </w:tc>
        <w:tc>
          <w:tcPr>
            <w:tcW w:w="5918" w:type="dxa"/>
          </w:tcPr>
          <w:p w:rsidR="00F84CD4" w:rsidRDefault="00F84CD4" w:rsidP="00BA50DA">
            <w:pPr>
              <w:pStyle w:val="naisnod"/>
              <w:spacing w:before="0" w:after="0"/>
              <w:ind w:left="57" w:right="57"/>
              <w:jc w:val="left"/>
              <w:rPr>
                <w:b w:val="0"/>
                <w:sz w:val="22"/>
                <w:szCs w:val="22"/>
              </w:rPr>
            </w:pPr>
            <w:r>
              <w:rPr>
                <w:b w:val="0"/>
                <w:sz w:val="22"/>
                <w:szCs w:val="22"/>
              </w:rPr>
              <w:t>Projekts neparedz funkciju paplašināšanu.</w:t>
            </w:r>
          </w:p>
          <w:p w:rsidR="00F84CD4" w:rsidRDefault="00F84CD4" w:rsidP="00BA50DA">
            <w:pPr>
              <w:pStyle w:val="naisnod"/>
              <w:spacing w:before="0" w:after="0"/>
              <w:ind w:left="57" w:right="57"/>
              <w:jc w:val="left"/>
              <w:rPr>
                <w:b w:val="0"/>
                <w:sz w:val="22"/>
                <w:szCs w:val="22"/>
              </w:rPr>
            </w:pPr>
          </w:p>
        </w:tc>
      </w:tr>
      <w:tr w:rsidR="00F84CD4" w:rsidTr="00BA50DA">
        <w:tc>
          <w:tcPr>
            <w:tcW w:w="534" w:type="dxa"/>
          </w:tcPr>
          <w:p w:rsidR="00F84CD4" w:rsidRDefault="00F84CD4" w:rsidP="00BA50DA">
            <w:pPr>
              <w:pStyle w:val="naisnod"/>
              <w:spacing w:before="0" w:after="0"/>
              <w:ind w:left="57" w:right="57"/>
              <w:jc w:val="left"/>
              <w:rPr>
                <w:b w:val="0"/>
                <w:sz w:val="22"/>
                <w:szCs w:val="22"/>
              </w:rPr>
            </w:pPr>
            <w:r>
              <w:rPr>
                <w:b w:val="0"/>
                <w:sz w:val="22"/>
                <w:szCs w:val="22"/>
              </w:rPr>
              <w:t>3.</w:t>
            </w:r>
          </w:p>
        </w:tc>
        <w:tc>
          <w:tcPr>
            <w:tcW w:w="2835" w:type="dxa"/>
          </w:tcPr>
          <w:p w:rsidR="00F84CD4" w:rsidRDefault="00F84CD4" w:rsidP="00BA50DA">
            <w:pPr>
              <w:pStyle w:val="naisf"/>
              <w:spacing w:before="0" w:after="0"/>
              <w:ind w:left="57" w:right="57" w:firstLine="0"/>
              <w:jc w:val="left"/>
              <w:rPr>
                <w:sz w:val="22"/>
                <w:szCs w:val="22"/>
                <w:lang w:eastAsia="lv-LV"/>
              </w:rPr>
            </w:pPr>
            <w:r>
              <w:rPr>
                <w:sz w:val="22"/>
                <w:szCs w:val="22"/>
                <w:lang w:eastAsia="lv-LV"/>
              </w:rPr>
              <w:t>Projekta izpildes ietekme uz pārvaldes institucionālo struktūru.</w:t>
            </w:r>
          </w:p>
          <w:p w:rsidR="00F84CD4" w:rsidRDefault="00F84CD4" w:rsidP="00BA50DA">
            <w:pPr>
              <w:pStyle w:val="naisf"/>
              <w:spacing w:before="0" w:after="0"/>
              <w:ind w:left="57" w:right="57" w:firstLine="0"/>
              <w:jc w:val="left"/>
              <w:rPr>
                <w:sz w:val="22"/>
                <w:szCs w:val="22"/>
                <w:lang w:eastAsia="lv-LV"/>
              </w:rPr>
            </w:pPr>
            <w:r>
              <w:rPr>
                <w:sz w:val="22"/>
                <w:szCs w:val="22"/>
                <w:lang w:eastAsia="lv-LV"/>
              </w:rPr>
              <w:t>Jaunu institūciju izveide</w:t>
            </w:r>
          </w:p>
        </w:tc>
        <w:tc>
          <w:tcPr>
            <w:tcW w:w="5918" w:type="dxa"/>
          </w:tcPr>
          <w:p w:rsidR="00F84CD4" w:rsidRDefault="00F84CD4" w:rsidP="00BA50DA">
            <w:pPr>
              <w:pStyle w:val="naisnod"/>
              <w:spacing w:before="0" w:after="0"/>
              <w:ind w:left="57" w:right="57"/>
              <w:jc w:val="left"/>
              <w:rPr>
                <w:b w:val="0"/>
                <w:sz w:val="22"/>
                <w:szCs w:val="22"/>
              </w:rPr>
            </w:pPr>
            <w:r>
              <w:rPr>
                <w:b w:val="0"/>
                <w:sz w:val="22"/>
                <w:szCs w:val="22"/>
              </w:rPr>
              <w:t>Projekts neparedz veidot jaunas valsts institūcijas.</w:t>
            </w:r>
          </w:p>
        </w:tc>
      </w:tr>
      <w:tr w:rsidR="00F84CD4" w:rsidTr="00BA50DA">
        <w:tc>
          <w:tcPr>
            <w:tcW w:w="534" w:type="dxa"/>
          </w:tcPr>
          <w:p w:rsidR="00F84CD4" w:rsidRDefault="00F84CD4" w:rsidP="00BA50DA">
            <w:pPr>
              <w:pStyle w:val="naisnod"/>
              <w:spacing w:before="0" w:after="0"/>
              <w:ind w:left="57" w:right="57"/>
              <w:jc w:val="left"/>
              <w:rPr>
                <w:b w:val="0"/>
                <w:sz w:val="22"/>
                <w:szCs w:val="22"/>
              </w:rPr>
            </w:pPr>
            <w:r>
              <w:rPr>
                <w:b w:val="0"/>
                <w:sz w:val="22"/>
                <w:szCs w:val="22"/>
              </w:rPr>
              <w:t>4.</w:t>
            </w:r>
          </w:p>
        </w:tc>
        <w:tc>
          <w:tcPr>
            <w:tcW w:w="2835" w:type="dxa"/>
          </w:tcPr>
          <w:p w:rsidR="00F84CD4" w:rsidRDefault="00F84CD4" w:rsidP="00BA50DA">
            <w:pPr>
              <w:pStyle w:val="naisf"/>
              <w:spacing w:before="0" w:after="0"/>
              <w:ind w:left="57" w:right="57" w:firstLine="0"/>
              <w:jc w:val="left"/>
              <w:rPr>
                <w:sz w:val="22"/>
                <w:szCs w:val="22"/>
                <w:lang w:eastAsia="lv-LV"/>
              </w:rPr>
            </w:pPr>
            <w:r>
              <w:rPr>
                <w:sz w:val="22"/>
                <w:szCs w:val="22"/>
                <w:lang w:eastAsia="lv-LV"/>
              </w:rPr>
              <w:t>Projekta izpildes ietekme uz pārvaldes institucionālo struktūru.</w:t>
            </w:r>
          </w:p>
          <w:p w:rsidR="00F84CD4" w:rsidRDefault="00F84CD4" w:rsidP="00BA50DA">
            <w:pPr>
              <w:pStyle w:val="naisf"/>
              <w:spacing w:before="0" w:after="0"/>
              <w:ind w:left="57" w:right="57" w:firstLine="0"/>
              <w:jc w:val="left"/>
              <w:rPr>
                <w:sz w:val="22"/>
                <w:szCs w:val="22"/>
                <w:lang w:eastAsia="lv-LV"/>
              </w:rPr>
            </w:pPr>
            <w:r>
              <w:rPr>
                <w:sz w:val="22"/>
                <w:szCs w:val="22"/>
                <w:lang w:eastAsia="lv-LV"/>
              </w:rPr>
              <w:t>Esošu institūciju likvidācija</w:t>
            </w:r>
          </w:p>
        </w:tc>
        <w:tc>
          <w:tcPr>
            <w:tcW w:w="5918" w:type="dxa"/>
          </w:tcPr>
          <w:p w:rsidR="00F84CD4" w:rsidRDefault="00F84CD4" w:rsidP="00BA50DA">
            <w:pPr>
              <w:pStyle w:val="naisnod"/>
              <w:spacing w:before="0" w:after="0"/>
              <w:ind w:left="57" w:right="57"/>
              <w:jc w:val="left"/>
              <w:rPr>
                <w:b w:val="0"/>
                <w:sz w:val="22"/>
                <w:szCs w:val="22"/>
              </w:rPr>
            </w:pPr>
            <w:r>
              <w:rPr>
                <w:b w:val="0"/>
                <w:sz w:val="22"/>
                <w:szCs w:val="22"/>
              </w:rPr>
              <w:t>Projekts šo jomu neskar.</w:t>
            </w:r>
          </w:p>
        </w:tc>
      </w:tr>
      <w:tr w:rsidR="00F84CD4" w:rsidTr="00BA50DA">
        <w:tc>
          <w:tcPr>
            <w:tcW w:w="534" w:type="dxa"/>
          </w:tcPr>
          <w:p w:rsidR="00F84CD4" w:rsidRDefault="00F84CD4" w:rsidP="00BA50DA">
            <w:pPr>
              <w:pStyle w:val="naisnod"/>
              <w:spacing w:before="0" w:after="0"/>
              <w:ind w:left="57" w:right="57"/>
              <w:jc w:val="left"/>
              <w:rPr>
                <w:b w:val="0"/>
                <w:sz w:val="22"/>
                <w:szCs w:val="22"/>
              </w:rPr>
            </w:pPr>
            <w:r>
              <w:rPr>
                <w:b w:val="0"/>
                <w:sz w:val="22"/>
                <w:szCs w:val="22"/>
              </w:rPr>
              <w:t>5.</w:t>
            </w:r>
          </w:p>
        </w:tc>
        <w:tc>
          <w:tcPr>
            <w:tcW w:w="2835" w:type="dxa"/>
          </w:tcPr>
          <w:p w:rsidR="00F84CD4" w:rsidRDefault="00F84CD4" w:rsidP="00BA50DA">
            <w:pPr>
              <w:pStyle w:val="naisf"/>
              <w:spacing w:before="0" w:after="0"/>
              <w:ind w:left="57" w:right="57" w:firstLine="0"/>
              <w:jc w:val="left"/>
              <w:rPr>
                <w:sz w:val="22"/>
                <w:szCs w:val="22"/>
                <w:lang w:eastAsia="lv-LV"/>
              </w:rPr>
            </w:pPr>
            <w:r>
              <w:rPr>
                <w:sz w:val="22"/>
                <w:szCs w:val="22"/>
                <w:lang w:eastAsia="lv-LV"/>
              </w:rPr>
              <w:t>Projekta izpildes ietekme uz pārvaldes institucionālo struktūru.</w:t>
            </w:r>
          </w:p>
          <w:p w:rsidR="00F84CD4" w:rsidRDefault="00F84CD4" w:rsidP="00BA50DA">
            <w:pPr>
              <w:pStyle w:val="naisf"/>
              <w:spacing w:before="0" w:after="0"/>
              <w:ind w:left="57" w:right="57" w:firstLine="0"/>
              <w:jc w:val="left"/>
              <w:rPr>
                <w:sz w:val="22"/>
                <w:szCs w:val="22"/>
                <w:lang w:eastAsia="lv-LV"/>
              </w:rPr>
            </w:pPr>
            <w:r>
              <w:rPr>
                <w:sz w:val="22"/>
                <w:szCs w:val="22"/>
                <w:lang w:eastAsia="lv-LV"/>
              </w:rPr>
              <w:t>Esošu institūciju reorganizācija</w:t>
            </w:r>
          </w:p>
        </w:tc>
        <w:tc>
          <w:tcPr>
            <w:tcW w:w="5918" w:type="dxa"/>
          </w:tcPr>
          <w:p w:rsidR="00F84CD4" w:rsidRDefault="00F84CD4" w:rsidP="00BA50DA">
            <w:pPr>
              <w:pStyle w:val="naisnod"/>
              <w:spacing w:before="0" w:after="0"/>
              <w:ind w:left="57" w:right="57"/>
              <w:jc w:val="both"/>
              <w:rPr>
                <w:b w:val="0"/>
                <w:sz w:val="22"/>
                <w:szCs w:val="22"/>
              </w:rPr>
            </w:pPr>
            <w:r>
              <w:rPr>
                <w:b w:val="0"/>
                <w:sz w:val="22"/>
                <w:szCs w:val="22"/>
              </w:rPr>
              <w:t>Projekts šo jomu neskar.</w:t>
            </w:r>
          </w:p>
        </w:tc>
      </w:tr>
      <w:tr w:rsidR="00F84CD4" w:rsidTr="00BA50DA">
        <w:tc>
          <w:tcPr>
            <w:tcW w:w="534" w:type="dxa"/>
          </w:tcPr>
          <w:p w:rsidR="00F84CD4" w:rsidRDefault="00F84CD4" w:rsidP="00BA50DA">
            <w:pPr>
              <w:pStyle w:val="naiskr"/>
              <w:spacing w:before="0" w:after="0"/>
              <w:ind w:left="57" w:right="57"/>
              <w:rPr>
                <w:sz w:val="22"/>
                <w:szCs w:val="22"/>
              </w:rPr>
            </w:pPr>
            <w:r>
              <w:rPr>
                <w:sz w:val="22"/>
                <w:szCs w:val="22"/>
              </w:rPr>
              <w:t>6.</w:t>
            </w:r>
          </w:p>
        </w:tc>
        <w:tc>
          <w:tcPr>
            <w:tcW w:w="2835" w:type="dxa"/>
          </w:tcPr>
          <w:p w:rsidR="00F84CD4" w:rsidRDefault="00F84CD4" w:rsidP="00BA50DA">
            <w:pPr>
              <w:pStyle w:val="naiskr"/>
              <w:spacing w:before="0" w:after="0"/>
              <w:ind w:left="57" w:right="57"/>
              <w:rPr>
                <w:sz w:val="22"/>
                <w:szCs w:val="22"/>
              </w:rPr>
            </w:pPr>
            <w:r>
              <w:rPr>
                <w:sz w:val="22"/>
                <w:szCs w:val="22"/>
              </w:rPr>
              <w:t>Cita informācija</w:t>
            </w:r>
          </w:p>
        </w:tc>
        <w:tc>
          <w:tcPr>
            <w:tcW w:w="5918" w:type="dxa"/>
          </w:tcPr>
          <w:p w:rsidR="00F84CD4" w:rsidRDefault="00F84CD4" w:rsidP="00BA50DA">
            <w:pPr>
              <w:pStyle w:val="naiskr"/>
              <w:spacing w:before="0" w:after="0"/>
              <w:ind w:left="57" w:right="57"/>
              <w:rPr>
                <w:sz w:val="22"/>
                <w:szCs w:val="22"/>
              </w:rPr>
            </w:pPr>
            <w:r>
              <w:rPr>
                <w:sz w:val="22"/>
                <w:szCs w:val="22"/>
              </w:rPr>
              <w:t>Projekts šo jomu neskar.</w:t>
            </w:r>
          </w:p>
        </w:tc>
      </w:tr>
    </w:tbl>
    <w:p w:rsidR="00F84CD4" w:rsidRPr="00F61E70" w:rsidRDefault="00F84CD4" w:rsidP="00A0154D">
      <w:pPr>
        <w:pStyle w:val="NormalWeb"/>
        <w:spacing w:before="0" w:beforeAutospacing="0" w:after="0" w:afterAutospacing="0"/>
        <w:rPr>
          <w:sz w:val="28"/>
        </w:rPr>
      </w:pPr>
    </w:p>
    <w:p w:rsidR="00E37328" w:rsidRDefault="00E37328" w:rsidP="00A0154D">
      <w:pPr>
        <w:pStyle w:val="NormalWeb"/>
        <w:spacing w:before="0" w:beforeAutospacing="0" w:after="0" w:afterAutospacing="0"/>
        <w:rPr>
          <w:sz w:val="28"/>
          <w:szCs w:val="28"/>
        </w:rPr>
      </w:pPr>
    </w:p>
    <w:p w:rsidR="00F3027A" w:rsidRPr="00F61E70" w:rsidRDefault="00F3027A" w:rsidP="00A0154D">
      <w:pPr>
        <w:pStyle w:val="NormalWeb"/>
        <w:spacing w:before="0" w:beforeAutospacing="0" w:after="0" w:afterAutospacing="0"/>
        <w:rPr>
          <w:sz w:val="28"/>
        </w:rPr>
      </w:pPr>
      <w:r w:rsidRPr="00260D74">
        <w:rPr>
          <w:sz w:val="28"/>
          <w:szCs w:val="28"/>
        </w:rPr>
        <w:t>Ekonomikas ministr</w:t>
      </w:r>
      <w:r w:rsidR="00A46CBE" w:rsidRPr="00F61E70">
        <w:rPr>
          <w:sz w:val="28"/>
        </w:rPr>
        <w:t>s</w:t>
      </w:r>
      <w:r w:rsidR="006E6052" w:rsidRPr="006E6052">
        <w:rPr>
          <w:sz w:val="28"/>
          <w:szCs w:val="28"/>
        </w:rPr>
        <w:tab/>
      </w:r>
      <w:r w:rsidR="006E6052" w:rsidRPr="006E6052">
        <w:rPr>
          <w:sz w:val="28"/>
          <w:szCs w:val="28"/>
        </w:rPr>
        <w:tab/>
      </w:r>
      <w:r w:rsidR="006E6052" w:rsidRPr="006E6052">
        <w:rPr>
          <w:sz w:val="28"/>
          <w:szCs w:val="28"/>
        </w:rPr>
        <w:tab/>
      </w:r>
      <w:r w:rsidR="00A46CBE" w:rsidRPr="00F61E70">
        <w:rPr>
          <w:sz w:val="28"/>
        </w:rPr>
        <w:tab/>
      </w:r>
      <w:r w:rsidR="00A46CBE" w:rsidRPr="00F61E70">
        <w:rPr>
          <w:sz w:val="28"/>
        </w:rPr>
        <w:tab/>
      </w:r>
      <w:r w:rsidR="00A46CBE" w:rsidRPr="00F61E70">
        <w:rPr>
          <w:sz w:val="28"/>
        </w:rPr>
        <w:tab/>
      </w:r>
      <w:r w:rsidR="00A46CBE" w:rsidRPr="00F61E70">
        <w:rPr>
          <w:sz w:val="28"/>
        </w:rPr>
        <w:tab/>
      </w:r>
      <w:r w:rsidR="00A46CBE" w:rsidRPr="00F61E70">
        <w:rPr>
          <w:sz w:val="28"/>
        </w:rPr>
        <w:tab/>
      </w:r>
      <w:proofErr w:type="spellStart"/>
      <w:r w:rsidR="00A46CBE" w:rsidRPr="00F61E70">
        <w:rPr>
          <w:sz w:val="28"/>
        </w:rPr>
        <w:t>D.Pavļuts</w:t>
      </w:r>
      <w:proofErr w:type="spellEnd"/>
    </w:p>
    <w:p w:rsidR="004C165F" w:rsidRPr="00260D74" w:rsidRDefault="004C165F" w:rsidP="00A0154D">
      <w:pPr>
        <w:pStyle w:val="EnvelopeReturn"/>
        <w:tabs>
          <w:tab w:val="left" w:pos="6480"/>
          <w:tab w:val="right" w:pos="7560"/>
        </w:tabs>
        <w:spacing w:before="0"/>
        <w:rPr>
          <w:sz w:val="28"/>
          <w:szCs w:val="28"/>
          <w:lang w:val="lv-LV"/>
        </w:rPr>
      </w:pPr>
    </w:p>
    <w:p w:rsidR="00E37328" w:rsidRDefault="00E37328" w:rsidP="00E37328">
      <w:pPr>
        <w:pStyle w:val="Subtitle"/>
        <w:widowControl/>
        <w:spacing w:before="0" w:after="0"/>
        <w:ind w:right="-1"/>
        <w:rPr>
          <w:sz w:val="28"/>
          <w:szCs w:val="28"/>
          <w:lang w:val="lv-LV"/>
        </w:rPr>
      </w:pPr>
    </w:p>
    <w:p w:rsidR="00E37328" w:rsidRDefault="00E37328" w:rsidP="00E37328">
      <w:pPr>
        <w:pStyle w:val="Subtitle"/>
        <w:widowControl/>
        <w:spacing w:before="0" w:after="0"/>
        <w:ind w:right="-1"/>
        <w:rPr>
          <w:sz w:val="28"/>
          <w:szCs w:val="28"/>
          <w:lang w:val="lv-LV"/>
        </w:rPr>
      </w:pPr>
    </w:p>
    <w:p w:rsidR="00854ADE" w:rsidRPr="00E37328" w:rsidRDefault="00854ADE" w:rsidP="00E37328">
      <w:pPr>
        <w:pStyle w:val="Subtitle"/>
        <w:widowControl/>
        <w:spacing w:before="0" w:after="0"/>
        <w:ind w:right="-1"/>
        <w:rPr>
          <w:b w:val="0"/>
          <w:sz w:val="28"/>
          <w:szCs w:val="28"/>
          <w:lang w:val="lv-LV"/>
        </w:rPr>
      </w:pPr>
      <w:r w:rsidRPr="00F61E70">
        <w:rPr>
          <w:sz w:val="28"/>
          <w:szCs w:val="28"/>
          <w:lang w:val="lv-LV"/>
        </w:rPr>
        <w:t xml:space="preserve">Vīza: </w:t>
      </w:r>
      <w:r w:rsidR="00E37328">
        <w:rPr>
          <w:b w:val="0"/>
          <w:sz w:val="28"/>
          <w:szCs w:val="28"/>
          <w:lang w:val="lv-LV"/>
        </w:rPr>
        <w:t>Valsts sekretārs</w:t>
      </w:r>
      <w:r w:rsidR="0067312D">
        <w:rPr>
          <w:b w:val="0"/>
          <w:sz w:val="28"/>
          <w:szCs w:val="28"/>
          <w:lang w:val="lv-LV"/>
        </w:rPr>
        <w:tab/>
      </w:r>
      <w:r w:rsidR="0067312D">
        <w:rPr>
          <w:b w:val="0"/>
          <w:sz w:val="28"/>
          <w:szCs w:val="28"/>
          <w:lang w:val="lv-LV"/>
        </w:rPr>
        <w:tab/>
      </w:r>
      <w:r w:rsidR="0067312D">
        <w:rPr>
          <w:b w:val="0"/>
          <w:sz w:val="28"/>
          <w:szCs w:val="28"/>
          <w:lang w:val="lv-LV"/>
        </w:rPr>
        <w:tab/>
      </w:r>
      <w:r w:rsidR="0067312D">
        <w:rPr>
          <w:b w:val="0"/>
          <w:sz w:val="28"/>
          <w:szCs w:val="28"/>
          <w:lang w:val="lv-LV"/>
        </w:rPr>
        <w:tab/>
      </w:r>
      <w:r w:rsidR="0067312D">
        <w:rPr>
          <w:b w:val="0"/>
          <w:sz w:val="28"/>
          <w:szCs w:val="28"/>
          <w:lang w:val="lv-LV"/>
        </w:rPr>
        <w:tab/>
      </w:r>
      <w:r w:rsidR="0067312D">
        <w:rPr>
          <w:b w:val="0"/>
          <w:sz w:val="28"/>
          <w:szCs w:val="28"/>
          <w:lang w:val="lv-LV"/>
        </w:rPr>
        <w:tab/>
      </w:r>
      <w:r w:rsidR="00E37328">
        <w:rPr>
          <w:b w:val="0"/>
          <w:sz w:val="28"/>
          <w:szCs w:val="28"/>
          <w:lang w:val="lv-LV"/>
        </w:rPr>
        <w:tab/>
      </w:r>
      <w:r w:rsidR="00E37328">
        <w:rPr>
          <w:b w:val="0"/>
          <w:sz w:val="28"/>
          <w:szCs w:val="28"/>
          <w:lang w:val="lv-LV"/>
        </w:rPr>
        <w:tab/>
        <w:t>J.Pūce</w:t>
      </w:r>
    </w:p>
    <w:p w:rsidR="00857B8B" w:rsidRPr="00260D74" w:rsidRDefault="00857B8B" w:rsidP="00A0154D">
      <w:pPr>
        <w:pStyle w:val="EnvelopeReturn"/>
        <w:tabs>
          <w:tab w:val="left" w:pos="6480"/>
          <w:tab w:val="right" w:pos="7560"/>
        </w:tabs>
        <w:spacing w:before="0"/>
        <w:rPr>
          <w:sz w:val="22"/>
          <w:szCs w:val="22"/>
          <w:lang w:val="lv-LV"/>
        </w:rPr>
      </w:pPr>
    </w:p>
    <w:p w:rsidR="00A0154D" w:rsidRPr="00260D74" w:rsidRDefault="00A0154D" w:rsidP="00A0154D">
      <w:pPr>
        <w:spacing w:after="0" w:line="240" w:lineRule="auto"/>
        <w:rPr>
          <w:rFonts w:ascii="Times New Roman" w:hAnsi="Times New Roman"/>
          <w:sz w:val="20"/>
          <w:szCs w:val="20"/>
        </w:rPr>
      </w:pPr>
    </w:p>
    <w:p w:rsidR="00A0154D" w:rsidRDefault="00A0154D" w:rsidP="00A0154D">
      <w:pPr>
        <w:spacing w:after="0" w:line="240" w:lineRule="auto"/>
        <w:rPr>
          <w:rFonts w:ascii="Times New Roman" w:hAnsi="Times New Roman"/>
          <w:sz w:val="20"/>
          <w:szCs w:val="20"/>
        </w:rPr>
      </w:pPr>
    </w:p>
    <w:p w:rsidR="00E37328" w:rsidRPr="00260D74" w:rsidRDefault="00E37328" w:rsidP="00A0154D">
      <w:pPr>
        <w:spacing w:after="0" w:line="240" w:lineRule="auto"/>
        <w:rPr>
          <w:rFonts w:ascii="Times New Roman" w:hAnsi="Times New Roman"/>
          <w:sz w:val="20"/>
          <w:szCs w:val="20"/>
        </w:rPr>
      </w:pPr>
    </w:p>
    <w:p w:rsidR="007F340F" w:rsidRPr="00260D74" w:rsidRDefault="00F452D2" w:rsidP="007F340F">
      <w:pPr>
        <w:spacing w:after="0" w:line="240" w:lineRule="auto"/>
        <w:rPr>
          <w:rFonts w:ascii="Times New Roman" w:hAnsi="Times New Roman"/>
          <w:sz w:val="20"/>
          <w:szCs w:val="20"/>
        </w:rPr>
      </w:pPr>
      <w:r>
        <w:rPr>
          <w:rFonts w:ascii="Times New Roman" w:hAnsi="Times New Roman"/>
          <w:sz w:val="20"/>
          <w:szCs w:val="20"/>
        </w:rPr>
        <w:fldChar w:fldCharType="begin"/>
      </w:r>
      <w:r w:rsidR="006E6052">
        <w:rPr>
          <w:rFonts w:ascii="Times New Roman" w:hAnsi="Times New Roman"/>
          <w:sz w:val="20"/>
          <w:szCs w:val="20"/>
        </w:rPr>
        <w:instrText xml:space="preserve"> DATE  \@ "dd.MM.yyyy HH:mm"  \* MERGEFORMAT </w:instrText>
      </w:r>
      <w:r>
        <w:rPr>
          <w:rFonts w:ascii="Times New Roman" w:hAnsi="Times New Roman"/>
          <w:sz w:val="20"/>
          <w:szCs w:val="20"/>
        </w:rPr>
        <w:fldChar w:fldCharType="separate"/>
      </w:r>
      <w:r w:rsidR="00E37328">
        <w:rPr>
          <w:rFonts w:ascii="Times New Roman" w:hAnsi="Times New Roman"/>
          <w:noProof/>
          <w:sz w:val="20"/>
          <w:szCs w:val="20"/>
        </w:rPr>
        <w:t>07.02.2013 09:27</w:t>
      </w:r>
      <w:r>
        <w:rPr>
          <w:rFonts w:ascii="Times New Roman" w:hAnsi="Times New Roman"/>
          <w:sz w:val="20"/>
          <w:szCs w:val="20"/>
        </w:rPr>
        <w:fldChar w:fldCharType="end"/>
      </w:r>
    </w:p>
    <w:p w:rsidR="007F340F" w:rsidRPr="00260D74" w:rsidRDefault="003E731E" w:rsidP="007F340F">
      <w:pPr>
        <w:spacing w:after="0" w:line="240" w:lineRule="auto"/>
        <w:rPr>
          <w:rFonts w:ascii="Times New Roman" w:hAnsi="Times New Roman"/>
          <w:sz w:val="20"/>
          <w:szCs w:val="20"/>
        </w:rPr>
      </w:pPr>
      <w:r>
        <w:fldChar w:fldCharType="begin"/>
      </w:r>
      <w:r>
        <w:instrText xml:space="preserve"> NUMWORDS   \* MERGEFORMAT </w:instrText>
      </w:r>
      <w:r>
        <w:fldChar w:fldCharType="separate"/>
      </w:r>
      <w:r w:rsidR="00E37328" w:rsidRPr="00E37328">
        <w:rPr>
          <w:rFonts w:ascii="Times New Roman" w:hAnsi="Times New Roman"/>
          <w:noProof/>
          <w:sz w:val="20"/>
          <w:szCs w:val="20"/>
        </w:rPr>
        <w:t>3802</w:t>
      </w:r>
      <w:r>
        <w:rPr>
          <w:rFonts w:ascii="Times New Roman" w:hAnsi="Times New Roman"/>
          <w:noProof/>
          <w:sz w:val="20"/>
          <w:szCs w:val="20"/>
        </w:rPr>
        <w:fldChar w:fldCharType="end"/>
      </w:r>
    </w:p>
    <w:p w:rsidR="007F340F" w:rsidRPr="00260D74" w:rsidRDefault="00540F96" w:rsidP="007F340F">
      <w:pPr>
        <w:spacing w:after="0" w:line="240" w:lineRule="auto"/>
        <w:rPr>
          <w:rFonts w:ascii="Times New Roman" w:hAnsi="Times New Roman"/>
          <w:sz w:val="20"/>
          <w:szCs w:val="20"/>
        </w:rPr>
      </w:pPr>
      <w:r w:rsidRPr="00260D74">
        <w:rPr>
          <w:rFonts w:ascii="Times New Roman" w:hAnsi="Times New Roman"/>
          <w:sz w:val="20"/>
          <w:szCs w:val="20"/>
        </w:rPr>
        <w:t>A.Ļvovs</w:t>
      </w:r>
    </w:p>
    <w:p w:rsidR="007F340F" w:rsidRPr="00260D74" w:rsidRDefault="007F340F" w:rsidP="007F340F">
      <w:pPr>
        <w:spacing w:after="0" w:line="240" w:lineRule="auto"/>
        <w:rPr>
          <w:rFonts w:ascii="Times New Roman" w:hAnsi="Times New Roman"/>
          <w:sz w:val="20"/>
          <w:szCs w:val="20"/>
        </w:rPr>
      </w:pPr>
      <w:r w:rsidRPr="00260D74">
        <w:rPr>
          <w:rFonts w:ascii="Times New Roman" w:hAnsi="Times New Roman"/>
          <w:sz w:val="20"/>
          <w:szCs w:val="20"/>
        </w:rPr>
        <w:t>67013</w:t>
      </w:r>
      <w:r w:rsidR="00540F96" w:rsidRPr="00260D74">
        <w:rPr>
          <w:rFonts w:ascii="Times New Roman" w:hAnsi="Times New Roman"/>
          <w:sz w:val="20"/>
          <w:szCs w:val="20"/>
        </w:rPr>
        <w:t>066</w:t>
      </w:r>
      <w:r w:rsidRPr="00260D74">
        <w:rPr>
          <w:rFonts w:ascii="Times New Roman" w:hAnsi="Times New Roman"/>
          <w:sz w:val="20"/>
          <w:szCs w:val="20"/>
        </w:rPr>
        <w:t xml:space="preserve">, </w:t>
      </w:r>
      <w:r w:rsidR="00540F96" w:rsidRPr="00260D74">
        <w:rPr>
          <w:rFonts w:ascii="Times New Roman" w:hAnsi="Times New Roman"/>
          <w:sz w:val="20"/>
          <w:szCs w:val="20"/>
        </w:rPr>
        <w:t>Aleksandrs.Lvovs</w:t>
      </w:r>
      <w:r w:rsidRPr="00260D74">
        <w:rPr>
          <w:rFonts w:ascii="Times New Roman" w:hAnsi="Times New Roman"/>
          <w:sz w:val="20"/>
          <w:szCs w:val="20"/>
        </w:rPr>
        <w:t>@em.gov.lv</w:t>
      </w:r>
    </w:p>
    <w:p w:rsidR="00AD4F27" w:rsidRPr="00F84CD4" w:rsidRDefault="00AD4F27" w:rsidP="007F340F">
      <w:pPr>
        <w:spacing w:after="0" w:line="240" w:lineRule="auto"/>
        <w:rPr>
          <w:rFonts w:ascii="Times New Roman" w:hAnsi="Times New Roman"/>
          <w:sz w:val="20"/>
        </w:rPr>
      </w:pPr>
      <w:bookmarkStart w:id="4" w:name="_GoBack"/>
      <w:bookmarkEnd w:id="4"/>
    </w:p>
    <w:sectPr w:rsidR="00AD4F27" w:rsidRPr="00F84CD4" w:rsidSect="00AB5795">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31E" w:rsidRDefault="003E731E" w:rsidP="009640EB">
      <w:pPr>
        <w:spacing w:after="0" w:line="240" w:lineRule="auto"/>
      </w:pPr>
      <w:r>
        <w:separator/>
      </w:r>
    </w:p>
  </w:endnote>
  <w:endnote w:type="continuationSeparator" w:id="0">
    <w:p w:rsidR="003E731E" w:rsidRDefault="003E731E" w:rsidP="009640EB">
      <w:pPr>
        <w:spacing w:after="0" w:line="240" w:lineRule="auto"/>
      </w:pPr>
      <w:r>
        <w:continuationSeparator/>
      </w:r>
    </w:p>
  </w:endnote>
  <w:endnote w:type="continuationNotice" w:id="1">
    <w:p w:rsidR="003E731E" w:rsidRDefault="003E73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20002A87" w:usb1="00000000" w:usb2="00000000" w:usb3="00000000" w:csb0="000001FF" w:csb1="00000000"/>
  </w:font>
  <w:font w:name="EUAlbertina">
    <w:altName w:val="Times New Roman"/>
    <w:panose1 w:val="00000000000000000000"/>
    <w:charset w:val="EE"/>
    <w:family w:val="roman"/>
    <w:notTrueType/>
    <w:pitch w:val="default"/>
    <w:sig w:usb0="00000005" w:usb1="00000000" w:usb2="00000000" w:usb3="00000000" w:csb0="00000002" w:csb1="00000000"/>
  </w:font>
  <w:font w:name="Verdana">
    <w:panose1 w:val="020B0604030504040204"/>
    <w:charset w:val="BA"/>
    <w:family w:val="swiss"/>
    <w:pitch w:val="variable"/>
    <w:sig w:usb0="20000287" w:usb1="00000000" w:usb2="00000000" w:usb3="00000000" w:csb0="0000019F" w:csb1="00000000"/>
  </w:font>
  <w:font w:name="Impact">
    <w:panose1 w:val="020B0806030902050204"/>
    <w:charset w:val="BA"/>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EB" w:rsidRPr="00540F96" w:rsidRDefault="00204842" w:rsidP="00540F96">
    <w:pPr>
      <w:pStyle w:val="naisf"/>
      <w:spacing w:before="0" w:after="0"/>
      <w:ind w:firstLine="0"/>
      <w:rPr>
        <w:bCs/>
        <w:color w:val="000000"/>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EManot_050213_groz_ETL 1289.docx</w:t>
    </w:r>
    <w:r>
      <w:rPr>
        <w:sz w:val="20"/>
        <w:szCs w:val="20"/>
      </w:rPr>
      <w:fldChar w:fldCharType="end"/>
    </w:r>
    <w:r w:rsidR="007F15EB" w:rsidRPr="00540F96">
      <w:rPr>
        <w:sz w:val="20"/>
        <w:szCs w:val="20"/>
      </w:rPr>
      <w:t xml:space="preserve">; </w:t>
    </w:r>
    <w:r w:rsidR="007F15EB" w:rsidRPr="00540F96">
      <w:rPr>
        <w:color w:val="000000"/>
        <w:sz w:val="20"/>
        <w:szCs w:val="20"/>
      </w:rPr>
      <w:t>Likumprojekta „Grozījumi Elektroenerģijas tirgus likumā</w:t>
    </w:r>
    <w:r w:rsidR="007F15EB" w:rsidRPr="00540F96">
      <w:rPr>
        <w:bCs/>
        <w:color w:val="000000"/>
        <w:sz w:val="20"/>
        <w:szCs w:val="20"/>
      </w:rPr>
      <w:t>”</w:t>
    </w:r>
    <w:r w:rsidR="007F15EB" w:rsidRPr="00540F96">
      <w:rPr>
        <w:color w:val="000000"/>
        <w:sz w:val="20"/>
        <w:szCs w:val="20"/>
      </w:rPr>
      <w:t xml:space="preserve"> </w:t>
    </w:r>
    <w:r w:rsidR="007F15EB" w:rsidRPr="00540F96">
      <w:rPr>
        <w:bCs/>
        <w:color w:val="000000"/>
        <w:sz w:val="20"/>
        <w:szCs w:val="20"/>
      </w:rPr>
      <w:t>sākotnējās ietekmes novērtējuma ziņojums (anotācija)</w:t>
    </w:r>
  </w:p>
  <w:p w:rsidR="007F15EB" w:rsidRPr="007F340F" w:rsidRDefault="007F15EB" w:rsidP="007F340F">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EB" w:rsidRPr="00204842" w:rsidRDefault="003E731E" w:rsidP="00616C57">
    <w:pPr>
      <w:spacing w:after="0" w:line="240" w:lineRule="auto"/>
      <w:jc w:val="both"/>
      <w:rPr>
        <w:rFonts w:ascii="Times New Roman" w:eastAsia="Times New Roman" w:hAnsi="Times New Roman"/>
        <w:b/>
        <w:bCs/>
        <w:color w:val="000000"/>
        <w:sz w:val="20"/>
        <w:szCs w:val="20"/>
        <w:lang w:eastAsia="lv-LV"/>
      </w:rPr>
    </w:pPr>
    <w:r w:rsidRPr="00204842">
      <w:rPr>
        <w:rFonts w:ascii="Times New Roman" w:hAnsi="Times New Roman"/>
        <w:sz w:val="20"/>
        <w:szCs w:val="20"/>
      </w:rPr>
      <w:fldChar w:fldCharType="begin"/>
    </w:r>
    <w:r w:rsidRPr="00204842">
      <w:rPr>
        <w:rFonts w:ascii="Times New Roman" w:hAnsi="Times New Roman"/>
        <w:sz w:val="20"/>
        <w:szCs w:val="20"/>
      </w:rPr>
      <w:instrText xml:space="preserve"> FILENAME   \* MERGEFORMAT </w:instrText>
    </w:r>
    <w:r w:rsidRPr="00204842">
      <w:rPr>
        <w:rFonts w:ascii="Times New Roman" w:hAnsi="Times New Roman"/>
        <w:sz w:val="20"/>
        <w:szCs w:val="20"/>
      </w:rPr>
      <w:fldChar w:fldCharType="separate"/>
    </w:r>
    <w:r w:rsidR="00204842" w:rsidRPr="00204842">
      <w:rPr>
        <w:rFonts w:ascii="Times New Roman" w:hAnsi="Times New Roman"/>
        <w:noProof/>
        <w:sz w:val="20"/>
        <w:szCs w:val="20"/>
      </w:rPr>
      <w:t>EManot_050213_groz_ETL 1289.docx</w:t>
    </w:r>
    <w:r w:rsidRPr="00204842">
      <w:rPr>
        <w:rFonts w:ascii="Times New Roman" w:hAnsi="Times New Roman"/>
        <w:noProof/>
        <w:sz w:val="20"/>
        <w:szCs w:val="20"/>
      </w:rPr>
      <w:fldChar w:fldCharType="end"/>
    </w:r>
    <w:r w:rsidR="007F15EB" w:rsidRPr="00204842">
      <w:rPr>
        <w:rFonts w:ascii="Times New Roman" w:hAnsi="Times New Roman"/>
        <w:sz w:val="20"/>
        <w:szCs w:val="20"/>
      </w:rPr>
      <w:t>; Likumprojekta „Grozījumi Elektroenerģijas tirgus likumā” sākotnējās ietekmes novērtējuma ziņojums (anotācija)</w:t>
    </w:r>
  </w:p>
  <w:p w:rsidR="007F15EB" w:rsidRPr="007F340F" w:rsidRDefault="007F15EB" w:rsidP="00EE49B5">
    <w:pPr>
      <w:spacing w:after="0" w:line="240" w:lineRule="auto"/>
      <w:contextualSpacing/>
      <w:jc w:val="both"/>
      <w:outlineLvl w:val="0"/>
      <w:rPr>
        <w:rFonts w:ascii="Times New Roman" w:hAnsi="Times New Roman"/>
        <w:color w:val="000000"/>
        <w:sz w:val="20"/>
        <w:szCs w:val="20"/>
      </w:rPr>
    </w:pPr>
  </w:p>
  <w:p w:rsidR="007F15EB" w:rsidRPr="004C7262" w:rsidRDefault="007F15EB" w:rsidP="004C7262">
    <w:pPr>
      <w:spacing w:line="240" w:lineRule="auto"/>
      <w:contextualSpacing/>
      <w:jc w:val="both"/>
      <w:outlineLvl w:val="0"/>
      <w:rPr>
        <w:rFonts w:ascii="Times New Roman" w:eastAsia="Times New Roman" w:hAnsi="Times New Roman"/>
        <w:bCs/>
        <w:sz w:val="20"/>
        <w:szCs w:val="20"/>
        <w:lang w:eastAsia="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31E" w:rsidRDefault="003E731E" w:rsidP="009640EB">
      <w:pPr>
        <w:spacing w:after="0" w:line="240" w:lineRule="auto"/>
      </w:pPr>
      <w:r>
        <w:separator/>
      </w:r>
    </w:p>
  </w:footnote>
  <w:footnote w:type="continuationSeparator" w:id="0">
    <w:p w:rsidR="003E731E" w:rsidRDefault="003E731E" w:rsidP="009640EB">
      <w:pPr>
        <w:spacing w:after="0" w:line="240" w:lineRule="auto"/>
      </w:pPr>
      <w:r>
        <w:continuationSeparator/>
      </w:r>
    </w:p>
  </w:footnote>
  <w:footnote w:type="continuationNotice" w:id="1">
    <w:p w:rsidR="003E731E" w:rsidRDefault="003E731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EB" w:rsidRDefault="007F15EB">
    <w:pPr>
      <w:pStyle w:val="Header"/>
      <w:jc w:val="center"/>
    </w:pPr>
    <w:r w:rsidRPr="00C25AD5">
      <w:rPr>
        <w:rFonts w:ascii="Times New Roman" w:hAnsi="Times New Roman"/>
        <w:sz w:val="24"/>
        <w:szCs w:val="24"/>
      </w:rPr>
      <w:fldChar w:fldCharType="begin"/>
    </w:r>
    <w:r w:rsidRPr="00C25AD5">
      <w:rPr>
        <w:rFonts w:ascii="Times New Roman" w:hAnsi="Times New Roman"/>
        <w:sz w:val="24"/>
        <w:szCs w:val="24"/>
      </w:rPr>
      <w:instrText xml:space="preserve"> PAGE   \* MERGEFORMAT </w:instrText>
    </w:r>
    <w:r w:rsidRPr="00C25AD5">
      <w:rPr>
        <w:rFonts w:ascii="Times New Roman" w:hAnsi="Times New Roman"/>
        <w:sz w:val="24"/>
        <w:szCs w:val="24"/>
      </w:rPr>
      <w:fldChar w:fldCharType="separate"/>
    </w:r>
    <w:r w:rsidR="00204842">
      <w:rPr>
        <w:rFonts w:ascii="Times New Roman" w:hAnsi="Times New Roman"/>
        <w:noProof/>
        <w:sz w:val="24"/>
        <w:szCs w:val="24"/>
      </w:rPr>
      <w:t>12</w:t>
    </w:r>
    <w:r w:rsidRPr="00C25AD5">
      <w:rPr>
        <w:rFonts w:ascii="Times New Roman" w:hAnsi="Times New Roman"/>
        <w:sz w:val="24"/>
        <w:szCs w:val="24"/>
      </w:rPr>
      <w:fldChar w:fldCharType="end"/>
    </w:r>
  </w:p>
  <w:p w:rsidR="007F15EB" w:rsidRDefault="007F15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1502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25555A4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2B267C05"/>
    <w:multiLevelType w:val="hybridMultilevel"/>
    <w:tmpl w:val="5DC6DE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BA5614F"/>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59FB2E1E"/>
    <w:multiLevelType w:val="multilevel"/>
    <w:tmpl w:val="F562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571C62"/>
    <w:multiLevelType w:val="hybridMultilevel"/>
    <w:tmpl w:val="0A18BB86"/>
    <w:lvl w:ilvl="0" w:tplc="04090011">
      <w:start w:val="1"/>
      <w:numFmt w:val="decimal"/>
      <w:lvlText w:val="%1."/>
      <w:lvlJc w:val="left"/>
      <w:pPr>
        <w:tabs>
          <w:tab w:val="num" w:pos="1440"/>
        </w:tabs>
        <w:ind w:left="1440" w:hanging="360"/>
      </w:pPr>
      <w:rPr>
        <w:sz w:val="28"/>
        <w:szCs w:val="2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6C926286"/>
    <w:multiLevelType w:val="hybridMultilevel"/>
    <w:tmpl w:val="20A6E072"/>
    <w:lvl w:ilvl="0" w:tplc="10226A44">
      <w:start w:val="1"/>
      <w:numFmt w:val="decimal"/>
      <w:lvlText w:val="%1)"/>
      <w:lvlJc w:val="left"/>
      <w:pPr>
        <w:ind w:left="464" w:hanging="360"/>
      </w:pPr>
      <w:rPr>
        <w:rFonts w:hint="default"/>
      </w:rPr>
    </w:lvl>
    <w:lvl w:ilvl="1" w:tplc="04260019" w:tentative="1">
      <w:start w:val="1"/>
      <w:numFmt w:val="lowerLetter"/>
      <w:lvlText w:val="%2."/>
      <w:lvlJc w:val="left"/>
      <w:pPr>
        <w:ind w:left="1184" w:hanging="360"/>
      </w:pPr>
    </w:lvl>
    <w:lvl w:ilvl="2" w:tplc="0426001B" w:tentative="1">
      <w:start w:val="1"/>
      <w:numFmt w:val="lowerRoman"/>
      <w:lvlText w:val="%3."/>
      <w:lvlJc w:val="right"/>
      <w:pPr>
        <w:ind w:left="1904" w:hanging="180"/>
      </w:pPr>
    </w:lvl>
    <w:lvl w:ilvl="3" w:tplc="0426000F" w:tentative="1">
      <w:start w:val="1"/>
      <w:numFmt w:val="decimal"/>
      <w:lvlText w:val="%4."/>
      <w:lvlJc w:val="left"/>
      <w:pPr>
        <w:ind w:left="2624" w:hanging="360"/>
      </w:pPr>
    </w:lvl>
    <w:lvl w:ilvl="4" w:tplc="04260019" w:tentative="1">
      <w:start w:val="1"/>
      <w:numFmt w:val="lowerLetter"/>
      <w:lvlText w:val="%5."/>
      <w:lvlJc w:val="left"/>
      <w:pPr>
        <w:ind w:left="3344" w:hanging="360"/>
      </w:pPr>
    </w:lvl>
    <w:lvl w:ilvl="5" w:tplc="0426001B" w:tentative="1">
      <w:start w:val="1"/>
      <w:numFmt w:val="lowerRoman"/>
      <w:lvlText w:val="%6."/>
      <w:lvlJc w:val="right"/>
      <w:pPr>
        <w:ind w:left="4064" w:hanging="180"/>
      </w:pPr>
    </w:lvl>
    <w:lvl w:ilvl="6" w:tplc="0426000F" w:tentative="1">
      <w:start w:val="1"/>
      <w:numFmt w:val="decimal"/>
      <w:lvlText w:val="%7."/>
      <w:lvlJc w:val="left"/>
      <w:pPr>
        <w:ind w:left="4784" w:hanging="360"/>
      </w:pPr>
    </w:lvl>
    <w:lvl w:ilvl="7" w:tplc="04260019" w:tentative="1">
      <w:start w:val="1"/>
      <w:numFmt w:val="lowerLetter"/>
      <w:lvlText w:val="%8."/>
      <w:lvlJc w:val="left"/>
      <w:pPr>
        <w:ind w:left="5504" w:hanging="360"/>
      </w:pPr>
    </w:lvl>
    <w:lvl w:ilvl="8" w:tplc="0426001B" w:tentative="1">
      <w:start w:val="1"/>
      <w:numFmt w:val="lowerRoman"/>
      <w:lvlText w:val="%9."/>
      <w:lvlJc w:val="right"/>
      <w:pPr>
        <w:ind w:left="6224" w:hanging="180"/>
      </w:pPr>
    </w:lvl>
  </w:abstractNum>
  <w:abstractNum w:abstractNumId="7">
    <w:nsid w:val="6E6A1D4D"/>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742908A5"/>
    <w:multiLevelType w:val="hybridMultilevel"/>
    <w:tmpl w:val="1D3272F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nsid w:val="74DB3E32"/>
    <w:multiLevelType w:val="hybridMultilevel"/>
    <w:tmpl w:val="87C29E36"/>
    <w:lvl w:ilvl="0" w:tplc="12FEDCC0">
      <w:start w:val="1"/>
      <w:numFmt w:val="bullet"/>
      <w:lvlText w:val=""/>
      <w:lvlJc w:val="left"/>
      <w:pPr>
        <w:tabs>
          <w:tab w:val="num" w:pos="720"/>
        </w:tabs>
        <w:ind w:left="720" w:hanging="360"/>
      </w:pPr>
      <w:rPr>
        <w:rFonts w:ascii="Wingdings" w:hAnsi="Wingdings" w:hint="default"/>
      </w:rPr>
    </w:lvl>
    <w:lvl w:ilvl="1" w:tplc="3A0E93F8" w:tentative="1">
      <w:start w:val="1"/>
      <w:numFmt w:val="bullet"/>
      <w:lvlText w:val=""/>
      <w:lvlJc w:val="left"/>
      <w:pPr>
        <w:tabs>
          <w:tab w:val="num" w:pos="1440"/>
        </w:tabs>
        <w:ind w:left="1440" w:hanging="360"/>
      </w:pPr>
      <w:rPr>
        <w:rFonts w:ascii="Wingdings" w:hAnsi="Wingdings" w:hint="default"/>
      </w:rPr>
    </w:lvl>
    <w:lvl w:ilvl="2" w:tplc="3DF413EE" w:tentative="1">
      <w:start w:val="1"/>
      <w:numFmt w:val="bullet"/>
      <w:lvlText w:val=""/>
      <w:lvlJc w:val="left"/>
      <w:pPr>
        <w:tabs>
          <w:tab w:val="num" w:pos="2160"/>
        </w:tabs>
        <w:ind w:left="2160" w:hanging="360"/>
      </w:pPr>
      <w:rPr>
        <w:rFonts w:ascii="Wingdings" w:hAnsi="Wingdings" w:hint="default"/>
      </w:rPr>
    </w:lvl>
    <w:lvl w:ilvl="3" w:tplc="19923C14" w:tentative="1">
      <w:start w:val="1"/>
      <w:numFmt w:val="bullet"/>
      <w:lvlText w:val=""/>
      <w:lvlJc w:val="left"/>
      <w:pPr>
        <w:tabs>
          <w:tab w:val="num" w:pos="2880"/>
        </w:tabs>
        <w:ind w:left="2880" w:hanging="360"/>
      </w:pPr>
      <w:rPr>
        <w:rFonts w:ascii="Wingdings" w:hAnsi="Wingdings" w:hint="default"/>
      </w:rPr>
    </w:lvl>
    <w:lvl w:ilvl="4" w:tplc="1CB6F26A" w:tentative="1">
      <w:start w:val="1"/>
      <w:numFmt w:val="bullet"/>
      <w:lvlText w:val=""/>
      <w:lvlJc w:val="left"/>
      <w:pPr>
        <w:tabs>
          <w:tab w:val="num" w:pos="3600"/>
        </w:tabs>
        <w:ind w:left="3600" w:hanging="360"/>
      </w:pPr>
      <w:rPr>
        <w:rFonts w:ascii="Wingdings" w:hAnsi="Wingdings" w:hint="default"/>
      </w:rPr>
    </w:lvl>
    <w:lvl w:ilvl="5" w:tplc="7C369AE8" w:tentative="1">
      <w:start w:val="1"/>
      <w:numFmt w:val="bullet"/>
      <w:lvlText w:val=""/>
      <w:lvlJc w:val="left"/>
      <w:pPr>
        <w:tabs>
          <w:tab w:val="num" w:pos="4320"/>
        </w:tabs>
        <w:ind w:left="4320" w:hanging="360"/>
      </w:pPr>
      <w:rPr>
        <w:rFonts w:ascii="Wingdings" w:hAnsi="Wingdings" w:hint="default"/>
      </w:rPr>
    </w:lvl>
    <w:lvl w:ilvl="6" w:tplc="581CABCC" w:tentative="1">
      <w:start w:val="1"/>
      <w:numFmt w:val="bullet"/>
      <w:lvlText w:val=""/>
      <w:lvlJc w:val="left"/>
      <w:pPr>
        <w:tabs>
          <w:tab w:val="num" w:pos="5040"/>
        </w:tabs>
        <w:ind w:left="5040" w:hanging="360"/>
      </w:pPr>
      <w:rPr>
        <w:rFonts w:ascii="Wingdings" w:hAnsi="Wingdings" w:hint="default"/>
      </w:rPr>
    </w:lvl>
    <w:lvl w:ilvl="7" w:tplc="4A225244" w:tentative="1">
      <w:start w:val="1"/>
      <w:numFmt w:val="bullet"/>
      <w:lvlText w:val=""/>
      <w:lvlJc w:val="left"/>
      <w:pPr>
        <w:tabs>
          <w:tab w:val="num" w:pos="5760"/>
        </w:tabs>
        <w:ind w:left="5760" w:hanging="360"/>
      </w:pPr>
      <w:rPr>
        <w:rFonts w:ascii="Wingdings" w:hAnsi="Wingdings" w:hint="default"/>
      </w:rPr>
    </w:lvl>
    <w:lvl w:ilvl="8" w:tplc="8AE6411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2E43E8"/>
    <w:rsid w:val="00002268"/>
    <w:rsid w:val="00002503"/>
    <w:rsid w:val="00004F4D"/>
    <w:rsid w:val="00007FDB"/>
    <w:rsid w:val="000114C7"/>
    <w:rsid w:val="0001271E"/>
    <w:rsid w:val="00014144"/>
    <w:rsid w:val="0001422A"/>
    <w:rsid w:val="00015A72"/>
    <w:rsid w:val="00015EC6"/>
    <w:rsid w:val="00017C7B"/>
    <w:rsid w:val="000214C4"/>
    <w:rsid w:val="0002742E"/>
    <w:rsid w:val="00030477"/>
    <w:rsid w:val="00030D50"/>
    <w:rsid w:val="00035037"/>
    <w:rsid w:val="000362F1"/>
    <w:rsid w:val="00036A9B"/>
    <w:rsid w:val="0004231A"/>
    <w:rsid w:val="00043735"/>
    <w:rsid w:val="00043C1A"/>
    <w:rsid w:val="00046C40"/>
    <w:rsid w:val="00046F23"/>
    <w:rsid w:val="00047945"/>
    <w:rsid w:val="000504F6"/>
    <w:rsid w:val="0005099F"/>
    <w:rsid w:val="00053D19"/>
    <w:rsid w:val="00053E9B"/>
    <w:rsid w:val="00055F75"/>
    <w:rsid w:val="0006010E"/>
    <w:rsid w:val="00060684"/>
    <w:rsid w:val="00062F83"/>
    <w:rsid w:val="00063A04"/>
    <w:rsid w:val="000675BF"/>
    <w:rsid w:val="00072931"/>
    <w:rsid w:val="000758F7"/>
    <w:rsid w:val="00076769"/>
    <w:rsid w:val="00080D0B"/>
    <w:rsid w:val="0008206C"/>
    <w:rsid w:val="000820A2"/>
    <w:rsid w:val="000833E2"/>
    <w:rsid w:val="00083E6F"/>
    <w:rsid w:val="00084090"/>
    <w:rsid w:val="00085DBA"/>
    <w:rsid w:val="00086787"/>
    <w:rsid w:val="00092065"/>
    <w:rsid w:val="000931B5"/>
    <w:rsid w:val="00093ACE"/>
    <w:rsid w:val="00093DEB"/>
    <w:rsid w:val="00095E97"/>
    <w:rsid w:val="000A1292"/>
    <w:rsid w:val="000A5A46"/>
    <w:rsid w:val="000A67F8"/>
    <w:rsid w:val="000A747F"/>
    <w:rsid w:val="000B0780"/>
    <w:rsid w:val="000B1064"/>
    <w:rsid w:val="000B1697"/>
    <w:rsid w:val="000B29E9"/>
    <w:rsid w:val="000B2A4E"/>
    <w:rsid w:val="000B2D19"/>
    <w:rsid w:val="000B7F35"/>
    <w:rsid w:val="000D0C6F"/>
    <w:rsid w:val="000D10CB"/>
    <w:rsid w:val="000D16A5"/>
    <w:rsid w:val="000D29B1"/>
    <w:rsid w:val="000D51D2"/>
    <w:rsid w:val="000D6EEE"/>
    <w:rsid w:val="000E11A5"/>
    <w:rsid w:val="000E2B3C"/>
    <w:rsid w:val="000E47B5"/>
    <w:rsid w:val="000E7AB3"/>
    <w:rsid w:val="000F18F4"/>
    <w:rsid w:val="000F27FD"/>
    <w:rsid w:val="000F2E2F"/>
    <w:rsid w:val="00103E89"/>
    <w:rsid w:val="0010532F"/>
    <w:rsid w:val="00110673"/>
    <w:rsid w:val="00110AA1"/>
    <w:rsid w:val="00111F9B"/>
    <w:rsid w:val="001128BE"/>
    <w:rsid w:val="001134C5"/>
    <w:rsid w:val="00115CA5"/>
    <w:rsid w:val="0011631B"/>
    <w:rsid w:val="0011734D"/>
    <w:rsid w:val="00122ED0"/>
    <w:rsid w:val="00127194"/>
    <w:rsid w:val="00127523"/>
    <w:rsid w:val="0012760F"/>
    <w:rsid w:val="00131457"/>
    <w:rsid w:val="00133765"/>
    <w:rsid w:val="00136A18"/>
    <w:rsid w:val="001400B0"/>
    <w:rsid w:val="001418F5"/>
    <w:rsid w:val="001443E1"/>
    <w:rsid w:val="00144A85"/>
    <w:rsid w:val="001463BF"/>
    <w:rsid w:val="001467DC"/>
    <w:rsid w:val="00152DD0"/>
    <w:rsid w:val="001534B7"/>
    <w:rsid w:val="00154B5E"/>
    <w:rsid w:val="001554EC"/>
    <w:rsid w:val="001565D2"/>
    <w:rsid w:val="00167706"/>
    <w:rsid w:val="001759C5"/>
    <w:rsid w:val="00176424"/>
    <w:rsid w:val="001767E4"/>
    <w:rsid w:val="001771B5"/>
    <w:rsid w:val="0017768B"/>
    <w:rsid w:val="0018151D"/>
    <w:rsid w:val="001827CC"/>
    <w:rsid w:val="00182D0A"/>
    <w:rsid w:val="00183532"/>
    <w:rsid w:val="00184DAF"/>
    <w:rsid w:val="001915B6"/>
    <w:rsid w:val="00192763"/>
    <w:rsid w:val="001930EC"/>
    <w:rsid w:val="00196AE4"/>
    <w:rsid w:val="00197BBC"/>
    <w:rsid w:val="001A2478"/>
    <w:rsid w:val="001A5CEB"/>
    <w:rsid w:val="001A65B8"/>
    <w:rsid w:val="001B1627"/>
    <w:rsid w:val="001B1710"/>
    <w:rsid w:val="001B2AEC"/>
    <w:rsid w:val="001B4FE6"/>
    <w:rsid w:val="001B7C95"/>
    <w:rsid w:val="001C1561"/>
    <w:rsid w:val="001C318D"/>
    <w:rsid w:val="001D380F"/>
    <w:rsid w:val="001D4937"/>
    <w:rsid w:val="001E2C12"/>
    <w:rsid w:val="001F03B6"/>
    <w:rsid w:val="001F048F"/>
    <w:rsid w:val="001F4771"/>
    <w:rsid w:val="001F609F"/>
    <w:rsid w:val="001F6164"/>
    <w:rsid w:val="001F61AC"/>
    <w:rsid w:val="00201FF2"/>
    <w:rsid w:val="0020265D"/>
    <w:rsid w:val="002045EF"/>
    <w:rsid w:val="00204842"/>
    <w:rsid w:val="002049FF"/>
    <w:rsid w:val="002112B0"/>
    <w:rsid w:val="00211B99"/>
    <w:rsid w:val="00214893"/>
    <w:rsid w:val="00215B3E"/>
    <w:rsid w:val="00215FD3"/>
    <w:rsid w:val="002229F9"/>
    <w:rsid w:val="00224736"/>
    <w:rsid w:val="0023040B"/>
    <w:rsid w:val="0023060F"/>
    <w:rsid w:val="002322D7"/>
    <w:rsid w:val="00233AA4"/>
    <w:rsid w:val="0023533F"/>
    <w:rsid w:val="0023700D"/>
    <w:rsid w:val="00237539"/>
    <w:rsid w:val="00237DDA"/>
    <w:rsid w:val="002403CE"/>
    <w:rsid w:val="00240A58"/>
    <w:rsid w:val="0024117C"/>
    <w:rsid w:val="002425A8"/>
    <w:rsid w:val="002428E2"/>
    <w:rsid w:val="00242B86"/>
    <w:rsid w:val="002441E9"/>
    <w:rsid w:val="0024490A"/>
    <w:rsid w:val="002462A2"/>
    <w:rsid w:val="00247636"/>
    <w:rsid w:val="002507E8"/>
    <w:rsid w:val="00251B9E"/>
    <w:rsid w:val="00255D5E"/>
    <w:rsid w:val="00255ED8"/>
    <w:rsid w:val="0025630E"/>
    <w:rsid w:val="002577DF"/>
    <w:rsid w:val="00260D74"/>
    <w:rsid w:val="00261E6A"/>
    <w:rsid w:val="002628E5"/>
    <w:rsid w:val="00263A5A"/>
    <w:rsid w:val="0026471F"/>
    <w:rsid w:val="00275C23"/>
    <w:rsid w:val="00280F65"/>
    <w:rsid w:val="002811AB"/>
    <w:rsid w:val="00282451"/>
    <w:rsid w:val="00282660"/>
    <w:rsid w:val="00282D20"/>
    <w:rsid w:val="00282D4F"/>
    <w:rsid w:val="0028310B"/>
    <w:rsid w:val="002836F8"/>
    <w:rsid w:val="00283D0E"/>
    <w:rsid w:val="0028694F"/>
    <w:rsid w:val="00286F3D"/>
    <w:rsid w:val="00287AF7"/>
    <w:rsid w:val="00287E87"/>
    <w:rsid w:val="0029051C"/>
    <w:rsid w:val="00292822"/>
    <w:rsid w:val="0029471D"/>
    <w:rsid w:val="00294E26"/>
    <w:rsid w:val="002961CF"/>
    <w:rsid w:val="002978B7"/>
    <w:rsid w:val="002A277A"/>
    <w:rsid w:val="002B193E"/>
    <w:rsid w:val="002B2901"/>
    <w:rsid w:val="002B5ADD"/>
    <w:rsid w:val="002B6F89"/>
    <w:rsid w:val="002B7FD6"/>
    <w:rsid w:val="002C2267"/>
    <w:rsid w:val="002C3295"/>
    <w:rsid w:val="002C368E"/>
    <w:rsid w:val="002C3BCC"/>
    <w:rsid w:val="002C7399"/>
    <w:rsid w:val="002C745E"/>
    <w:rsid w:val="002D1FC5"/>
    <w:rsid w:val="002D25FD"/>
    <w:rsid w:val="002D2AA7"/>
    <w:rsid w:val="002D5BC5"/>
    <w:rsid w:val="002D6CAC"/>
    <w:rsid w:val="002D7E5A"/>
    <w:rsid w:val="002E0515"/>
    <w:rsid w:val="002E1A29"/>
    <w:rsid w:val="002E26E0"/>
    <w:rsid w:val="002E43E8"/>
    <w:rsid w:val="002F1108"/>
    <w:rsid w:val="002F152D"/>
    <w:rsid w:val="002F21C2"/>
    <w:rsid w:val="002F5081"/>
    <w:rsid w:val="002F5860"/>
    <w:rsid w:val="002F5E3F"/>
    <w:rsid w:val="002F64E8"/>
    <w:rsid w:val="002F67CF"/>
    <w:rsid w:val="002F6EAE"/>
    <w:rsid w:val="002F78DD"/>
    <w:rsid w:val="003037FC"/>
    <w:rsid w:val="00305FB6"/>
    <w:rsid w:val="00313B1A"/>
    <w:rsid w:val="00314456"/>
    <w:rsid w:val="00314B96"/>
    <w:rsid w:val="0031617D"/>
    <w:rsid w:val="003161BE"/>
    <w:rsid w:val="00316E18"/>
    <w:rsid w:val="0031758A"/>
    <w:rsid w:val="003222F7"/>
    <w:rsid w:val="00323244"/>
    <w:rsid w:val="0032351A"/>
    <w:rsid w:val="00324A66"/>
    <w:rsid w:val="003254CB"/>
    <w:rsid w:val="00325CD2"/>
    <w:rsid w:val="00333DBC"/>
    <w:rsid w:val="00336E91"/>
    <w:rsid w:val="00337A55"/>
    <w:rsid w:val="00342129"/>
    <w:rsid w:val="00342867"/>
    <w:rsid w:val="0034411F"/>
    <w:rsid w:val="00345A48"/>
    <w:rsid w:val="00355629"/>
    <w:rsid w:val="00356C22"/>
    <w:rsid w:val="00357966"/>
    <w:rsid w:val="00360D0D"/>
    <w:rsid w:val="00361CAB"/>
    <w:rsid w:val="00361FBA"/>
    <w:rsid w:val="003643AA"/>
    <w:rsid w:val="00364D84"/>
    <w:rsid w:val="0036509B"/>
    <w:rsid w:val="00367CEC"/>
    <w:rsid w:val="0037632F"/>
    <w:rsid w:val="00377FD9"/>
    <w:rsid w:val="0038144C"/>
    <w:rsid w:val="0038304B"/>
    <w:rsid w:val="00383C62"/>
    <w:rsid w:val="003876E0"/>
    <w:rsid w:val="00387874"/>
    <w:rsid w:val="00390BAD"/>
    <w:rsid w:val="00391B44"/>
    <w:rsid w:val="00392124"/>
    <w:rsid w:val="00394BE5"/>
    <w:rsid w:val="00394C29"/>
    <w:rsid w:val="00395204"/>
    <w:rsid w:val="00396C30"/>
    <w:rsid w:val="003A2269"/>
    <w:rsid w:val="003A3DDD"/>
    <w:rsid w:val="003A5446"/>
    <w:rsid w:val="003A54DF"/>
    <w:rsid w:val="003A6A35"/>
    <w:rsid w:val="003A768C"/>
    <w:rsid w:val="003B03E0"/>
    <w:rsid w:val="003B29F1"/>
    <w:rsid w:val="003B3870"/>
    <w:rsid w:val="003C19CD"/>
    <w:rsid w:val="003C3DDF"/>
    <w:rsid w:val="003C3FA4"/>
    <w:rsid w:val="003C3FFA"/>
    <w:rsid w:val="003C439A"/>
    <w:rsid w:val="003C7172"/>
    <w:rsid w:val="003D07ED"/>
    <w:rsid w:val="003D0B2F"/>
    <w:rsid w:val="003D241E"/>
    <w:rsid w:val="003D432A"/>
    <w:rsid w:val="003D534F"/>
    <w:rsid w:val="003E009E"/>
    <w:rsid w:val="003E3BAC"/>
    <w:rsid w:val="003E731E"/>
    <w:rsid w:val="003E77C8"/>
    <w:rsid w:val="003F04CE"/>
    <w:rsid w:val="003F1772"/>
    <w:rsid w:val="003F19BA"/>
    <w:rsid w:val="003F2B6D"/>
    <w:rsid w:val="003F3B24"/>
    <w:rsid w:val="003F50D9"/>
    <w:rsid w:val="00404742"/>
    <w:rsid w:val="00407EA2"/>
    <w:rsid w:val="00410AC4"/>
    <w:rsid w:val="00417CCA"/>
    <w:rsid w:val="00420B68"/>
    <w:rsid w:val="0042572C"/>
    <w:rsid w:val="00426B13"/>
    <w:rsid w:val="0043390E"/>
    <w:rsid w:val="0043514A"/>
    <w:rsid w:val="004361C9"/>
    <w:rsid w:val="004401A8"/>
    <w:rsid w:val="004425C2"/>
    <w:rsid w:val="00442AAD"/>
    <w:rsid w:val="0044361C"/>
    <w:rsid w:val="00446981"/>
    <w:rsid w:val="00453BF3"/>
    <w:rsid w:val="00454F14"/>
    <w:rsid w:val="00455D64"/>
    <w:rsid w:val="00460CFE"/>
    <w:rsid w:val="00463696"/>
    <w:rsid w:val="004637B9"/>
    <w:rsid w:val="00464AB1"/>
    <w:rsid w:val="00465BBD"/>
    <w:rsid w:val="0046609B"/>
    <w:rsid w:val="004675E5"/>
    <w:rsid w:val="00467A94"/>
    <w:rsid w:val="004704FF"/>
    <w:rsid w:val="00480ADE"/>
    <w:rsid w:val="0048135D"/>
    <w:rsid w:val="004814AD"/>
    <w:rsid w:val="00484E60"/>
    <w:rsid w:val="004866EB"/>
    <w:rsid w:val="00486B4F"/>
    <w:rsid w:val="004877A5"/>
    <w:rsid w:val="00487C33"/>
    <w:rsid w:val="00491881"/>
    <w:rsid w:val="00492245"/>
    <w:rsid w:val="00494467"/>
    <w:rsid w:val="00494494"/>
    <w:rsid w:val="00494B41"/>
    <w:rsid w:val="00496501"/>
    <w:rsid w:val="00497BAC"/>
    <w:rsid w:val="004A238E"/>
    <w:rsid w:val="004A347F"/>
    <w:rsid w:val="004A3A83"/>
    <w:rsid w:val="004A3F2B"/>
    <w:rsid w:val="004A52B1"/>
    <w:rsid w:val="004A7151"/>
    <w:rsid w:val="004B2B54"/>
    <w:rsid w:val="004C0015"/>
    <w:rsid w:val="004C14DE"/>
    <w:rsid w:val="004C165F"/>
    <w:rsid w:val="004C2C9E"/>
    <w:rsid w:val="004C5D6A"/>
    <w:rsid w:val="004C6C07"/>
    <w:rsid w:val="004C7262"/>
    <w:rsid w:val="004D0657"/>
    <w:rsid w:val="004D3161"/>
    <w:rsid w:val="004D377B"/>
    <w:rsid w:val="004D3E38"/>
    <w:rsid w:val="004D5ADC"/>
    <w:rsid w:val="004D7981"/>
    <w:rsid w:val="004E0BF2"/>
    <w:rsid w:val="004E2197"/>
    <w:rsid w:val="004E401F"/>
    <w:rsid w:val="004E648F"/>
    <w:rsid w:val="004F0198"/>
    <w:rsid w:val="004F0221"/>
    <w:rsid w:val="004F0E93"/>
    <w:rsid w:val="004F0F48"/>
    <w:rsid w:val="004F1BCF"/>
    <w:rsid w:val="004F2537"/>
    <w:rsid w:val="004F454F"/>
    <w:rsid w:val="005011A8"/>
    <w:rsid w:val="00501D51"/>
    <w:rsid w:val="00503F2E"/>
    <w:rsid w:val="00504636"/>
    <w:rsid w:val="005054BC"/>
    <w:rsid w:val="00507BE0"/>
    <w:rsid w:val="00507F1A"/>
    <w:rsid w:val="005108A2"/>
    <w:rsid w:val="00510CDA"/>
    <w:rsid w:val="00513575"/>
    <w:rsid w:val="0051445C"/>
    <w:rsid w:val="00520C10"/>
    <w:rsid w:val="005270B5"/>
    <w:rsid w:val="005273EE"/>
    <w:rsid w:val="00527B87"/>
    <w:rsid w:val="00531C94"/>
    <w:rsid w:val="00532D11"/>
    <w:rsid w:val="00533E74"/>
    <w:rsid w:val="005344D9"/>
    <w:rsid w:val="00534C66"/>
    <w:rsid w:val="00534CE2"/>
    <w:rsid w:val="005402FA"/>
    <w:rsid w:val="00540792"/>
    <w:rsid w:val="00540973"/>
    <w:rsid w:val="00540F96"/>
    <w:rsid w:val="00541F97"/>
    <w:rsid w:val="00544474"/>
    <w:rsid w:val="00551FD6"/>
    <w:rsid w:val="0055465E"/>
    <w:rsid w:val="0055505E"/>
    <w:rsid w:val="00555588"/>
    <w:rsid w:val="00555884"/>
    <w:rsid w:val="005563C4"/>
    <w:rsid w:val="00556975"/>
    <w:rsid w:val="00565900"/>
    <w:rsid w:val="005676D6"/>
    <w:rsid w:val="00582C05"/>
    <w:rsid w:val="005876F3"/>
    <w:rsid w:val="005917FB"/>
    <w:rsid w:val="0059640E"/>
    <w:rsid w:val="005A00C9"/>
    <w:rsid w:val="005A058F"/>
    <w:rsid w:val="005A306C"/>
    <w:rsid w:val="005A42F2"/>
    <w:rsid w:val="005A7EF2"/>
    <w:rsid w:val="005B1566"/>
    <w:rsid w:val="005B1FCF"/>
    <w:rsid w:val="005B330C"/>
    <w:rsid w:val="005C2599"/>
    <w:rsid w:val="005C4483"/>
    <w:rsid w:val="005C7530"/>
    <w:rsid w:val="005D08A0"/>
    <w:rsid w:val="005D1AE6"/>
    <w:rsid w:val="005D5C44"/>
    <w:rsid w:val="005D5ECF"/>
    <w:rsid w:val="005E2839"/>
    <w:rsid w:val="005E2A92"/>
    <w:rsid w:val="005E328C"/>
    <w:rsid w:val="005E76E0"/>
    <w:rsid w:val="005F0647"/>
    <w:rsid w:val="005F2596"/>
    <w:rsid w:val="005F287E"/>
    <w:rsid w:val="005F28AA"/>
    <w:rsid w:val="005F29C9"/>
    <w:rsid w:val="005F2A46"/>
    <w:rsid w:val="005F4DC5"/>
    <w:rsid w:val="005F57D0"/>
    <w:rsid w:val="00600918"/>
    <w:rsid w:val="00600E25"/>
    <w:rsid w:val="006018E5"/>
    <w:rsid w:val="006019E1"/>
    <w:rsid w:val="006054BE"/>
    <w:rsid w:val="00605F74"/>
    <w:rsid w:val="006067E8"/>
    <w:rsid w:val="00607ACA"/>
    <w:rsid w:val="00610696"/>
    <w:rsid w:val="006108F5"/>
    <w:rsid w:val="00610BAD"/>
    <w:rsid w:val="00616C57"/>
    <w:rsid w:val="006208C4"/>
    <w:rsid w:val="0062386F"/>
    <w:rsid w:val="00627FEB"/>
    <w:rsid w:val="006306CC"/>
    <w:rsid w:val="00630F7B"/>
    <w:rsid w:val="006359CB"/>
    <w:rsid w:val="00637F84"/>
    <w:rsid w:val="00640E4A"/>
    <w:rsid w:val="00641012"/>
    <w:rsid w:val="00641B53"/>
    <w:rsid w:val="0064201D"/>
    <w:rsid w:val="0064261E"/>
    <w:rsid w:val="006430DC"/>
    <w:rsid w:val="00644029"/>
    <w:rsid w:val="00644608"/>
    <w:rsid w:val="00645E9A"/>
    <w:rsid w:val="00646703"/>
    <w:rsid w:val="00646CF4"/>
    <w:rsid w:val="00650C21"/>
    <w:rsid w:val="00651E7C"/>
    <w:rsid w:val="006527AB"/>
    <w:rsid w:val="00653003"/>
    <w:rsid w:val="00653B0F"/>
    <w:rsid w:val="00654D86"/>
    <w:rsid w:val="00655817"/>
    <w:rsid w:val="00655DD7"/>
    <w:rsid w:val="006564DA"/>
    <w:rsid w:val="00656517"/>
    <w:rsid w:val="006641FF"/>
    <w:rsid w:val="00666184"/>
    <w:rsid w:val="00666CB8"/>
    <w:rsid w:val="00671021"/>
    <w:rsid w:val="0067312D"/>
    <w:rsid w:val="0067340F"/>
    <w:rsid w:val="00674F28"/>
    <w:rsid w:val="00674F81"/>
    <w:rsid w:val="006761DB"/>
    <w:rsid w:val="0067623F"/>
    <w:rsid w:val="00680FF6"/>
    <w:rsid w:val="006827DB"/>
    <w:rsid w:val="00683D14"/>
    <w:rsid w:val="00684B38"/>
    <w:rsid w:val="00687FFB"/>
    <w:rsid w:val="00690EDA"/>
    <w:rsid w:val="006960C4"/>
    <w:rsid w:val="00696BA8"/>
    <w:rsid w:val="006973CD"/>
    <w:rsid w:val="006977AD"/>
    <w:rsid w:val="00697DDA"/>
    <w:rsid w:val="006A030F"/>
    <w:rsid w:val="006A178B"/>
    <w:rsid w:val="006A3067"/>
    <w:rsid w:val="006A74FD"/>
    <w:rsid w:val="006B1C7C"/>
    <w:rsid w:val="006B4AFF"/>
    <w:rsid w:val="006C3856"/>
    <w:rsid w:val="006D1CF8"/>
    <w:rsid w:val="006D39AF"/>
    <w:rsid w:val="006D4B58"/>
    <w:rsid w:val="006D55ED"/>
    <w:rsid w:val="006E063B"/>
    <w:rsid w:val="006E1C2B"/>
    <w:rsid w:val="006E4575"/>
    <w:rsid w:val="006E6052"/>
    <w:rsid w:val="006E729D"/>
    <w:rsid w:val="006F2200"/>
    <w:rsid w:val="006F2A9A"/>
    <w:rsid w:val="006F54FE"/>
    <w:rsid w:val="006F5C75"/>
    <w:rsid w:val="006F5F96"/>
    <w:rsid w:val="006F6E8F"/>
    <w:rsid w:val="007005F7"/>
    <w:rsid w:val="007020A8"/>
    <w:rsid w:val="007023C4"/>
    <w:rsid w:val="00703E87"/>
    <w:rsid w:val="00705C12"/>
    <w:rsid w:val="007063AD"/>
    <w:rsid w:val="00707B4E"/>
    <w:rsid w:val="00707C95"/>
    <w:rsid w:val="00717805"/>
    <w:rsid w:val="007178BA"/>
    <w:rsid w:val="00720718"/>
    <w:rsid w:val="007209B5"/>
    <w:rsid w:val="00721B0B"/>
    <w:rsid w:val="00721E9E"/>
    <w:rsid w:val="00726614"/>
    <w:rsid w:val="0072734B"/>
    <w:rsid w:val="00730452"/>
    <w:rsid w:val="007315EA"/>
    <w:rsid w:val="0073204C"/>
    <w:rsid w:val="00736DCC"/>
    <w:rsid w:val="00741445"/>
    <w:rsid w:val="00741A9C"/>
    <w:rsid w:val="00742AAF"/>
    <w:rsid w:val="00742F8A"/>
    <w:rsid w:val="00743E90"/>
    <w:rsid w:val="007470A1"/>
    <w:rsid w:val="007500F3"/>
    <w:rsid w:val="00756503"/>
    <w:rsid w:val="007572C7"/>
    <w:rsid w:val="0076047A"/>
    <w:rsid w:val="007636A5"/>
    <w:rsid w:val="00766058"/>
    <w:rsid w:val="00770785"/>
    <w:rsid w:val="00770D00"/>
    <w:rsid w:val="00776E0F"/>
    <w:rsid w:val="00781C1C"/>
    <w:rsid w:val="00782780"/>
    <w:rsid w:val="00784577"/>
    <w:rsid w:val="007845C2"/>
    <w:rsid w:val="00784696"/>
    <w:rsid w:val="00785B77"/>
    <w:rsid w:val="007866FC"/>
    <w:rsid w:val="00792075"/>
    <w:rsid w:val="00793EC5"/>
    <w:rsid w:val="00794955"/>
    <w:rsid w:val="007978CD"/>
    <w:rsid w:val="007A23D7"/>
    <w:rsid w:val="007A27F5"/>
    <w:rsid w:val="007A56E1"/>
    <w:rsid w:val="007B37A4"/>
    <w:rsid w:val="007B5A08"/>
    <w:rsid w:val="007B606A"/>
    <w:rsid w:val="007C330B"/>
    <w:rsid w:val="007C6779"/>
    <w:rsid w:val="007D0A73"/>
    <w:rsid w:val="007D2352"/>
    <w:rsid w:val="007D58D9"/>
    <w:rsid w:val="007D671D"/>
    <w:rsid w:val="007D6B57"/>
    <w:rsid w:val="007D7A48"/>
    <w:rsid w:val="007E049E"/>
    <w:rsid w:val="007E2FF4"/>
    <w:rsid w:val="007E53F4"/>
    <w:rsid w:val="007E724F"/>
    <w:rsid w:val="007F15EB"/>
    <w:rsid w:val="007F1A21"/>
    <w:rsid w:val="007F1C80"/>
    <w:rsid w:val="007F340F"/>
    <w:rsid w:val="007F387B"/>
    <w:rsid w:val="007F5599"/>
    <w:rsid w:val="0080058E"/>
    <w:rsid w:val="0080253D"/>
    <w:rsid w:val="0080302C"/>
    <w:rsid w:val="00806D94"/>
    <w:rsid w:val="00806D96"/>
    <w:rsid w:val="008103B1"/>
    <w:rsid w:val="00810AC1"/>
    <w:rsid w:val="00812951"/>
    <w:rsid w:val="008137F2"/>
    <w:rsid w:val="00815235"/>
    <w:rsid w:val="0081799D"/>
    <w:rsid w:val="00817B48"/>
    <w:rsid w:val="0082289E"/>
    <w:rsid w:val="00823121"/>
    <w:rsid w:val="0082529C"/>
    <w:rsid w:val="00827C03"/>
    <w:rsid w:val="00827DCE"/>
    <w:rsid w:val="008306A8"/>
    <w:rsid w:val="00834400"/>
    <w:rsid w:val="00835A72"/>
    <w:rsid w:val="00835C2F"/>
    <w:rsid w:val="00836BF8"/>
    <w:rsid w:val="00840B0F"/>
    <w:rsid w:val="00840EA9"/>
    <w:rsid w:val="00841A74"/>
    <w:rsid w:val="008448B1"/>
    <w:rsid w:val="00844C36"/>
    <w:rsid w:val="0084545E"/>
    <w:rsid w:val="00845D04"/>
    <w:rsid w:val="00846362"/>
    <w:rsid w:val="0084744C"/>
    <w:rsid w:val="00854ADE"/>
    <w:rsid w:val="00856485"/>
    <w:rsid w:val="00857B8B"/>
    <w:rsid w:val="00857C21"/>
    <w:rsid w:val="00860F24"/>
    <w:rsid w:val="00861C82"/>
    <w:rsid w:val="00865432"/>
    <w:rsid w:val="008659F9"/>
    <w:rsid w:val="008718F3"/>
    <w:rsid w:val="008732AA"/>
    <w:rsid w:val="008771EF"/>
    <w:rsid w:val="008810B9"/>
    <w:rsid w:val="00882208"/>
    <w:rsid w:val="0088539B"/>
    <w:rsid w:val="00885AF3"/>
    <w:rsid w:val="00885F4B"/>
    <w:rsid w:val="00891261"/>
    <w:rsid w:val="00894C5F"/>
    <w:rsid w:val="00897DDF"/>
    <w:rsid w:val="008A039D"/>
    <w:rsid w:val="008A2149"/>
    <w:rsid w:val="008A2BC9"/>
    <w:rsid w:val="008A55AA"/>
    <w:rsid w:val="008B0F57"/>
    <w:rsid w:val="008B634A"/>
    <w:rsid w:val="008B7844"/>
    <w:rsid w:val="008C3053"/>
    <w:rsid w:val="008C36E3"/>
    <w:rsid w:val="008C6560"/>
    <w:rsid w:val="008C6875"/>
    <w:rsid w:val="008C745B"/>
    <w:rsid w:val="008D59C2"/>
    <w:rsid w:val="008D5F04"/>
    <w:rsid w:val="008D6629"/>
    <w:rsid w:val="008E1E57"/>
    <w:rsid w:val="008E263D"/>
    <w:rsid w:val="008E4848"/>
    <w:rsid w:val="008E5CF2"/>
    <w:rsid w:val="008E78F4"/>
    <w:rsid w:val="008E7DCA"/>
    <w:rsid w:val="008F1823"/>
    <w:rsid w:val="008F6947"/>
    <w:rsid w:val="009008E8"/>
    <w:rsid w:val="00902C21"/>
    <w:rsid w:val="009043CE"/>
    <w:rsid w:val="009053E2"/>
    <w:rsid w:val="00905647"/>
    <w:rsid w:val="00906BD5"/>
    <w:rsid w:val="00907A47"/>
    <w:rsid w:val="0091006D"/>
    <w:rsid w:val="00910F58"/>
    <w:rsid w:val="00911258"/>
    <w:rsid w:val="009126D8"/>
    <w:rsid w:val="00913554"/>
    <w:rsid w:val="00917519"/>
    <w:rsid w:val="00917C4A"/>
    <w:rsid w:val="00920595"/>
    <w:rsid w:val="00920B96"/>
    <w:rsid w:val="00920BC7"/>
    <w:rsid w:val="009216EE"/>
    <w:rsid w:val="00923343"/>
    <w:rsid w:val="00923413"/>
    <w:rsid w:val="0092576A"/>
    <w:rsid w:val="009269C2"/>
    <w:rsid w:val="00927D02"/>
    <w:rsid w:val="009311A7"/>
    <w:rsid w:val="00934B9B"/>
    <w:rsid w:val="009353BE"/>
    <w:rsid w:val="009405FF"/>
    <w:rsid w:val="00941DED"/>
    <w:rsid w:val="0094315B"/>
    <w:rsid w:val="00946212"/>
    <w:rsid w:val="009462DC"/>
    <w:rsid w:val="00946BBB"/>
    <w:rsid w:val="0095030C"/>
    <w:rsid w:val="00951411"/>
    <w:rsid w:val="009545D9"/>
    <w:rsid w:val="00957281"/>
    <w:rsid w:val="0096168E"/>
    <w:rsid w:val="00961793"/>
    <w:rsid w:val="0096281F"/>
    <w:rsid w:val="00962FE0"/>
    <w:rsid w:val="009640EB"/>
    <w:rsid w:val="009657A6"/>
    <w:rsid w:val="009708C8"/>
    <w:rsid w:val="00970C45"/>
    <w:rsid w:val="0097250D"/>
    <w:rsid w:val="00972F36"/>
    <w:rsid w:val="0097311D"/>
    <w:rsid w:val="009731B4"/>
    <w:rsid w:val="00974BA2"/>
    <w:rsid w:val="00975B61"/>
    <w:rsid w:val="009768DB"/>
    <w:rsid w:val="00976B71"/>
    <w:rsid w:val="009802E3"/>
    <w:rsid w:val="009815E4"/>
    <w:rsid w:val="00982002"/>
    <w:rsid w:val="009827A4"/>
    <w:rsid w:val="00982D75"/>
    <w:rsid w:val="0098467F"/>
    <w:rsid w:val="00985AF1"/>
    <w:rsid w:val="00986BD0"/>
    <w:rsid w:val="0099382C"/>
    <w:rsid w:val="009947F0"/>
    <w:rsid w:val="009A4D19"/>
    <w:rsid w:val="009B0D78"/>
    <w:rsid w:val="009B2156"/>
    <w:rsid w:val="009B6FA1"/>
    <w:rsid w:val="009B772C"/>
    <w:rsid w:val="009C38C2"/>
    <w:rsid w:val="009C3B44"/>
    <w:rsid w:val="009C4059"/>
    <w:rsid w:val="009C5773"/>
    <w:rsid w:val="009C6ED6"/>
    <w:rsid w:val="009C77C5"/>
    <w:rsid w:val="009D2246"/>
    <w:rsid w:val="009D5E33"/>
    <w:rsid w:val="009D669E"/>
    <w:rsid w:val="009E16D8"/>
    <w:rsid w:val="009E4D9A"/>
    <w:rsid w:val="009E6EBD"/>
    <w:rsid w:val="009F2568"/>
    <w:rsid w:val="009F26F2"/>
    <w:rsid w:val="009F28E2"/>
    <w:rsid w:val="009F2D07"/>
    <w:rsid w:val="009F6ECA"/>
    <w:rsid w:val="009F7955"/>
    <w:rsid w:val="00A002D3"/>
    <w:rsid w:val="00A0154D"/>
    <w:rsid w:val="00A01C1A"/>
    <w:rsid w:val="00A053F5"/>
    <w:rsid w:val="00A0793E"/>
    <w:rsid w:val="00A10232"/>
    <w:rsid w:val="00A13D14"/>
    <w:rsid w:val="00A14F6C"/>
    <w:rsid w:val="00A161D6"/>
    <w:rsid w:val="00A1679C"/>
    <w:rsid w:val="00A226BC"/>
    <w:rsid w:val="00A22777"/>
    <w:rsid w:val="00A22FDC"/>
    <w:rsid w:val="00A316A9"/>
    <w:rsid w:val="00A33062"/>
    <w:rsid w:val="00A363C9"/>
    <w:rsid w:val="00A37CAB"/>
    <w:rsid w:val="00A43488"/>
    <w:rsid w:val="00A45D88"/>
    <w:rsid w:val="00A462A1"/>
    <w:rsid w:val="00A469CB"/>
    <w:rsid w:val="00A46AA5"/>
    <w:rsid w:val="00A46CBE"/>
    <w:rsid w:val="00A52034"/>
    <w:rsid w:val="00A52271"/>
    <w:rsid w:val="00A54B8A"/>
    <w:rsid w:val="00A57B55"/>
    <w:rsid w:val="00A63386"/>
    <w:rsid w:val="00A67D40"/>
    <w:rsid w:val="00A72D98"/>
    <w:rsid w:val="00A74DED"/>
    <w:rsid w:val="00A76E93"/>
    <w:rsid w:val="00A77026"/>
    <w:rsid w:val="00A806F3"/>
    <w:rsid w:val="00A820D2"/>
    <w:rsid w:val="00A85461"/>
    <w:rsid w:val="00A86FC3"/>
    <w:rsid w:val="00A873FA"/>
    <w:rsid w:val="00A9005D"/>
    <w:rsid w:val="00A91151"/>
    <w:rsid w:val="00A9126C"/>
    <w:rsid w:val="00A92325"/>
    <w:rsid w:val="00A931B8"/>
    <w:rsid w:val="00A94D08"/>
    <w:rsid w:val="00A95042"/>
    <w:rsid w:val="00A95732"/>
    <w:rsid w:val="00AA36E0"/>
    <w:rsid w:val="00AA4FFD"/>
    <w:rsid w:val="00AB065B"/>
    <w:rsid w:val="00AB08E5"/>
    <w:rsid w:val="00AB34E4"/>
    <w:rsid w:val="00AB37E0"/>
    <w:rsid w:val="00AB3D14"/>
    <w:rsid w:val="00AB5795"/>
    <w:rsid w:val="00AB6B6E"/>
    <w:rsid w:val="00AB7BC5"/>
    <w:rsid w:val="00AC05DC"/>
    <w:rsid w:val="00AC2C7F"/>
    <w:rsid w:val="00AC5899"/>
    <w:rsid w:val="00AC5A05"/>
    <w:rsid w:val="00AC6E4C"/>
    <w:rsid w:val="00AC7840"/>
    <w:rsid w:val="00AC7E98"/>
    <w:rsid w:val="00AD3151"/>
    <w:rsid w:val="00AD4122"/>
    <w:rsid w:val="00AD455A"/>
    <w:rsid w:val="00AD4F27"/>
    <w:rsid w:val="00AD7D52"/>
    <w:rsid w:val="00AE47C1"/>
    <w:rsid w:val="00AE7262"/>
    <w:rsid w:val="00B0131D"/>
    <w:rsid w:val="00B05EED"/>
    <w:rsid w:val="00B06F37"/>
    <w:rsid w:val="00B0725E"/>
    <w:rsid w:val="00B07C44"/>
    <w:rsid w:val="00B10DA0"/>
    <w:rsid w:val="00B113D2"/>
    <w:rsid w:val="00B11B6D"/>
    <w:rsid w:val="00B151BF"/>
    <w:rsid w:val="00B15949"/>
    <w:rsid w:val="00B15BD2"/>
    <w:rsid w:val="00B160F2"/>
    <w:rsid w:val="00B16F12"/>
    <w:rsid w:val="00B20A5C"/>
    <w:rsid w:val="00B20B97"/>
    <w:rsid w:val="00B2132D"/>
    <w:rsid w:val="00B22369"/>
    <w:rsid w:val="00B26BE4"/>
    <w:rsid w:val="00B316F1"/>
    <w:rsid w:val="00B3226B"/>
    <w:rsid w:val="00B328EA"/>
    <w:rsid w:val="00B32B34"/>
    <w:rsid w:val="00B344D9"/>
    <w:rsid w:val="00B368B5"/>
    <w:rsid w:val="00B377DF"/>
    <w:rsid w:val="00B37ED8"/>
    <w:rsid w:val="00B406C8"/>
    <w:rsid w:val="00B42139"/>
    <w:rsid w:val="00B467C4"/>
    <w:rsid w:val="00B47780"/>
    <w:rsid w:val="00B51226"/>
    <w:rsid w:val="00B51313"/>
    <w:rsid w:val="00B53559"/>
    <w:rsid w:val="00B53767"/>
    <w:rsid w:val="00B542EC"/>
    <w:rsid w:val="00B54F7A"/>
    <w:rsid w:val="00B5578D"/>
    <w:rsid w:val="00B56412"/>
    <w:rsid w:val="00B5796F"/>
    <w:rsid w:val="00B57F16"/>
    <w:rsid w:val="00B624BB"/>
    <w:rsid w:val="00B62912"/>
    <w:rsid w:val="00B6445F"/>
    <w:rsid w:val="00B66ACE"/>
    <w:rsid w:val="00B66CA8"/>
    <w:rsid w:val="00B7041A"/>
    <w:rsid w:val="00B762B5"/>
    <w:rsid w:val="00B76460"/>
    <w:rsid w:val="00B76846"/>
    <w:rsid w:val="00B819C2"/>
    <w:rsid w:val="00B83B4D"/>
    <w:rsid w:val="00B84FB9"/>
    <w:rsid w:val="00B87219"/>
    <w:rsid w:val="00B875D7"/>
    <w:rsid w:val="00B93E94"/>
    <w:rsid w:val="00B95307"/>
    <w:rsid w:val="00BA1B6A"/>
    <w:rsid w:val="00BA28B4"/>
    <w:rsid w:val="00BA50DA"/>
    <w:rsid w:val="00BA627E"/>
    <w:rsid w:val="00BA7835"/>
    <w:rsid w:val="00BA7F1A"/>
    <w:rsid w:val="00BB437C"/>
    <w:rsid w:val="00BB4E2C"/>
    <w:rsid w:val="00BB5D92"/>
    <w:rsid w:val="00BB66C5"/>
    <w:rsid w:val="00BC10F5"/>
    <w:rsid w:val="00BC2390"/>
    <w:rsid w:val="00BC5062"/>
    <w:rsid w:val="00BD033A"/>
    <w:rsid w:val="00BD0509"/>
    <w:rsid w:val="00BD199F"/>
    <w:rsid w:val="00BD43E5"/>
    <w:rsid w:val="00BD53C9"/>
    <w:rsid w:val="00BD570E"/>
    <w:rsid w:val="00BE2E3F"/>
    <w:rsid w:val="00BE760C"/>
    <w:rsid w:val="00BF044D"/>
    <w:rsid w:val="00BF10B9"/>
    <w:rsid w:val="00BF50F2"/>
    <w:rsid w:val="00BF6567"/>
    <w:rsid w:val="00BF665E"/>
    <w:rsid w:val="00BF66A7"/>
    <w:rsid w:val="00C01DDB"/>
    <w:rsid w:val="00C01EEB"/>
    <w:rsid w:val="00C02828"/>
    <w:rsid w:val="00C035CA"/>
    <w:rsid w:val="00C03A43"/>
    <w:rsid w:val="00C112A9"/>
    <w:rsid w:val="00C14CEB"/>
    <w:rsid w:val="00C159B8"/>
    <w:rsid w:val="00C16C38"/>
    <w:rsid w:val="00C16F17"/>
    <w:rsid w:val="00C208B9"/>
    <w:rsid w:val="00C212CC"/>
    <w:rsid w:val="00C21A5B"/>
    <w:rsid w:val="00C21DAE"/>
    <w:rsid w:val="00C23F61"/>
    <w:rsid w:val="00C25AD5"/>
    <w:rsid w:val="00C25CA9"/>
    <w:rsid w:val="00C269D1"/>
    <w:rsid w:val="00C356B3"/>
    <w:rsid w:val="00C37458"/>
    <w:rsid w:val="00C37D83"/>
    <w:rsid w:val="00C40B20"/>
    <w:rsid w:val="00C41351"/>
    <w:rsid w:val="00C44835"/>
    <w:rsid w:val="00C478E0"/>
    <w:rsid w:val="00C506F3"/>
    <w:rsid w:val="00C50EBC"/>
    <w:rsid w:val="00C51690"/>
    <w:rsid w:val="00C52B6E"/>
    <w:rsid w:val="00C534CD"/>
    <w:rsid w:val="00C53908"/>
    <w:rsid w:val="00C5512B"/>
    <w:rsid w:val="00C569AD"/>
    <w:rsid w:val="00C5731D"/>
    <w:rsid w:val="00C6380E"/>
    <w:rsid w:val="00C658EB"/>
    <w:rsid w:val="00C65CBF"/>
    <w:rsid w:val="00C6679A"/>
    <w:rsid w:val="00C723D7"/>
    <w:rsid w:val="00C72D15"/>
    <w:rsid w:val="00C771B1"/>
    <w:rsid w:val="00C80DDF"/>
    <w:rsid w:val="00C8242D"/>
    <w:rsid w:val="00C847F7"/>
    <w:rsid w:val="00C85060"/>
    <w:rsid w:val="00C87535"/>
    <w:rsid w:val="00C91CA7"/>
    <w:rsid w:val="00C93ABC"/>
    <w:rsid w:val="00C959C4"/>
    <w:rsid w:val="00CA1337"/>
    <w:rsid w:val="00CA62E9"/>
    <w:rsid w:val="00CB0122"/>
    <w:rsid w:val="00CB05FF"/>
    <w:rsid w:val="00CB233F"/>
    <w:rsid w:val="00CB2952"/>
    <w:rsid w:val="00CB2DA4"/>
    <w:rsid w:val="00CB3031"/>
    <w:rsid w:val="00CB6338"/>
    <w:rsid w:val="00CB6C83"/>
    <w:rsid w:val="00CC230E"/>
    <w:rsid w:val="00CC3DD2"/>
    <w:rsid w:val="00CC7F49"/>
    <w:rsid w:val="00CD1163"/>
    <w:rsid w:val="00CD21AB"/>
    <w:rsid w:val="00CD599E"/>
    <w:rsid w:val="00CD59A2"/>
    <w:rsid w:val="00CE1AA5"/>
    <w:rsid w:val="00CE2B4C"/>
    <w:rsid w:val="00CE3EDE"/>
    <w:rsid w:val="00CE3F41"/>
    <w:rsid w:val="00CE44D6"/>
    <w:rsid w:val="00CE752C"/>
    <w:rsid w:val="00CF0520"/>
    <w:rsid w:val="00CF421F"/>
    <w:rsid w:val="00CF5013"/>
    <w:rsid w:val="00D001E7"/>
    <w:rsid w:val="00D007AF"/>
    <w:rsid w:val="00D00DD2"/>
    <w:rsid w:val="00D03859"/>
    <w:rsid w:val="00D03CCB"/>
    <w:rsid w:val="00D03E73"/>
    <w:rsid w:val="00D1085E"/>
    <w:rsid w:val="00D10894"/>
    <w:rsid w:val="00D10E20"/>
    <w:rsid w:val="00D12396"/>
    <w:rsid w:val="00D14B59"/>
    <w:rsid w:val="00D156D7"/>
    <w:rsid w:val="00D15BBE"/>
    <w:rsid w:val="00D160C2"/>
    <w:rsid w:val="00D16AD9"/>
    <w:rsid w:val="00D170A5"/>
    <w:rsid w:val="00D2172C"/>
    <w:rsid w:val="00D231BF"/>
    <w:rsid w:val="00D30E31"/>
    <w:rsid w:val="00D31F68"/>
    <w:rsid w:val="00D33344"/>
    <w:rsid w:val="00D33EF5"/>
    <w:rsid w:val="00D358F5"/>
    <w:rsid w:val="00D372C2"/>
    <w:rsid w:val="00D409F3"/>
    <w:rsid w:val="00D471A0"/>
    <w:rsid w:val="00D473E8"/>
    <w:rsid w:val="00D53548"/>
    <w:rsid w:val="00D53797"/>
    <w:rsid w:val="00D53D99"/>
    <w:rsid w:val="00D54E01"/>
    <w:rsid w:val="00D6024D"/>
    <w:rsid w:val="00D60CB0"/>
    <w:rsid w:val="00D64BF8"/>
    <w:rsid w:val="00D67FAB"/>
    <w:rsid w:val="00D7033A"/>
    <w:rsid w:val="00D745C8"/>
    <w:rsid w:val="00D757E1"/>
    <w:rsid w:val="00D7724F"/>
    <w:rsid w:val="00D8160D"/>
    <w:rsid w:val="00D8179B"/>
    <w:rsid w:val="00D81BA0"/>
    <w:rsid w:val="00D81BE8"/>
    <w:rsid w:val="00D84384"/>
    <w:rsid w:val="00D85B5F"/>
    <w:rsid w:val="00D91742"/>
    <w:rsid w:val="00D9504C"/>
    <w:rsid w:val="00D955FC"/>
    <w:rsid w:val="00D961AB"/>
    <w:rsid w:val="00D97FEC"/>
    <w:rsid w:val="00DA0815"/>
    <w:rsid w:val="00DA7644"/>
    <w:rsid w:val="00DA7D81"/>
    <w:rsid w:val="00DB1626"/>
    <w:rsid w:val="00DB1888"/>
    <w:rsid w:val="00DB1D57"/>
    <w:rsid w:val="00DB22B4"/>
    <w:rsid w:val="00DB3A23"/>
    <w:rsid w:val="00DB3CDD"/>
    <w:rsid w:val="00DC356F"/>
    <w:rsid w:val="00DC35E8"/>
    <w:rsid w:val="00DC4A00"/>
    <w:rsid w:val="00DC6B05"/>
    <w:rsid w:val="00DC6F64"/>
    <w:rsid w:val="00DD0A8D"/>
    <w:rsid w:val="00DD2C61"/>
    <w:rsid w:val="00DD3479"/>
    <w:rsid w:val="00DD4AAE"/>
    <w:rsid w:val="00DD68CD"/>
    <w:rsid w:val="00DE0727"/>
    <w:rsid w:val="00DE0D0B"/>
    <w:rsid w:val="00DE24FC"/>
    <w:rsid w:val="00DE43AE"/>
    <w:rsid w:val="00DE6ECE"/>
    <w:rsid w:val="00DF4AE4"/>
    <w:rsid w:val="00DF4F32"/>
    <w:rsid w:val="00DF5491"/>
    <w:rsid w:val="00E0035B"/>
    <w:rsid w:val="00E00768"/>
    <w:rsid w:val="00E00E94"/>
    <w:rsid w:val="00E059CC"/>
    <w:rsid w:val="00E061E8"/>
    <w:rsid w:val="00E07609"/>
    <w:rsid w:val="00E079D7"/>
    <w:rsid w:val="00E1000A"/>
    <w:rsid w:val="00E11932"/>
    <w:rsid w:val="00E15177"/>
    <w:rsid w:val="00E16348"/>
    <w:rsid w:val="00E1693C"/>
    <w:rsid w:val="00E17422"/>
    <w:rsid w:val="00E2092F"/>
    <w:rsid w:val="00E21CF1"/>
    <w:rsid w:val="00E23CCD"/>
    <w:rsid w:val="00E23F2F"/>
    <w:rsid w:val="00E2614B"/>
    <w:rsid w:val="00E30AAF"/>
    <w:rsid w:val="00E36F00"/>
    <w:rsid w:val="00E37328"/>
    <w:rsid w:val="00E3744E"/>
    <w:rsid w:val="00E40E5F"/>
    <w:rsid w:val="00E42425"/>
    <w:rsid w:val="00E44CBA"/>
    <w:rsid w:val="00E5051A"/>
    <w:rsid w:val="00E506CE"/>
    <w:rsid w:val="00E533DD"/>
    <w:rsid w:val="00E55CAB"/>
    <w:rsid w:val="00E56668"/>
    <w:rsid w:val="00E57020"/>
    <w:rsid w:val="00E57D30"/>
    <w:rsid w:val="00E6009B"/>
    <w:rsid w:val="00E615EF"/>
    <w:rsid w:val="00E61EB5"/>
    <w:rsid w:val="00E6245E"/>
    <w:rsid w:val="00E6283A"/>
    <w:rsid w:val="00E62CF8"/>
    <w:rsid w:val="00E669D5"/>
    <w:rsid w:val="00E715BA"/>
    <w:rsid w:val="00E72FD6"/>
    <w:rsid w:val="00E73AC8"/>
    <w:rsid w:val="00E757A1"/>
    <w:rsid w:val="00E75ED5"/>
    <w:rsid w:val="00E778A4"/>
    <w:rsid w:val="00E77A75"/>
    <w:rsid w:val="00E8080B"/>
    <w:rsid w:val="00E80EA1"/>
    <w:rsid w:val="00E841AC"/>
    <w:rsid w:val="00E841D3"/>
    <w:rsid w:val="00E84465"/>
    <w:rsid w:val="00E84A3B"/>
    <w:rsid w:val="00E85073"/>
    <w:rsid w:val="00E8679B"/>
    <w:rsid w:val="00E878F4"/>
    <w:rsid w:val="00E9059C"/>
    <w:rsid w:val="00E909F8"/>
    <w:rsid w:val="00E93083"/>
    <w:rsid w:val="00E936ED"/>
    <w:rsid w:val="00E9519C"/>
    <w:rsid w:val="00E969C1"/>
    <w:rsid w:val="00E97749"/>
    <w:rsid w:val="00EA1058"/>
    <w:rsid w:val="00EA3224"/>
    <w:rsid w:val="00EA417A"/>
    <w:rsid w:val="00EA44AC"/>
    <w:rsid w:val="00EA50BA"/>
    <w:rsid w:val="00EA648D"/>
    <w:rsid w:val="00EB09C7"/>
    <w:rsid w:val="00EB0A01"/>
    <w:rsid w:val="00EB2890"/>
    <w:rsid w:val="00EC0649"/>
    <w:rsid w:val="00EC0745"/>
    <w:rsid w:val="00EC2E44"/>
    <w:rsid w:val="00EC46B3"/>
    <w:rsid w:val="00EC7380"/>
    <w:rsid w:val="00ED187E"/>
    <w:rsid w:val="00ED57B8"/>
    <w:rsid w:val="00ED6CD0"/>
    <w:rsid w:val="00EE22FC"/>
    <w:rsid w:val="00EE269B"/>
    <w:rsid w:val="00EE49B5"/>
    <w:rsid w:val="00EE4C50"/>
    <w:rsid w:val="00EE6188"/>
    <w:rsid w:val="00EE6A10"/>
    <w:rsid w:val="00EF25A7"/>
    <w:rsid w:val="00EF2748"/>
    <w:rsid w:val="00EF36C9"/>
    <w:rsid w:val="00EF4FFB"/>
    <w:rsid w:val="00EF7A4D"/>
    <w:rsid w:val="00F00140"/>
    <w:rsid w:val="00F00BCA"/>
    <w:rsid w:val="00F04763"/>
    <w:rsid w:val="00F11B16"/>
    <w:rsid w:val="00F156CB"/>
    <w:rsid w:val="00F161EA"/>
    <w:rsid w:val="00F223AE"/>
    <w:rsid w:val="00F24EC1"/>
    <w:rsid w:val="00F27031"/>
    <w:rsid w:val="00F2727C"/>
    <w:rsid w:val="00F30153"/>
    <w:rsid w:val="00F30261"/>
    <w:rsid w:val="00F3027A"/>
    <w:rsid w:val="00F33023"/>
    <w:rsid w:val="00F330F2"/>
    <w:rsid w:val="00F351C0"/>
    <w:rsid w:val="00F35E67"/>
    <w:rsid w:val="00F36140"/>
    <w:rsid w:val="00F409D8"/>
    <w:rsid w:val="00F41346"/>
    <w:rsid w:val="00F452D2"/>
    <w:rsid w:val="00F4577B"/>
    <w:rsid w:val="00F5198C"/>
    <w:rsid w:val="00F51C36"/>
    <w:rsid w:val="00F51CBC"/>
    <w:rsid w:val="00F51D0D"/>
    <w:rsid w:val="00F545EB"/>
    <w:rsid w:val="00F600D2"/>
    <w:rsid w:val="00F61B4F"/>
    <w:rsid w:val="00F61E70"/>
    <w:rsid w:val="00F6279C"/>
    <w:rsid w:val="00F63ECF"/>
    <w:rsid w:val="00F66429"/>
    <w:rsid w:val="00F73413"/>
    <w:rsid w:val="00F74751"/>
    <w:rsid w:val="00F77DF3"/>
    <w:rsid w:val="00F81046"/>
    <w:rsid w:val="00F826F3"/>
    <w:rsid w:val="00F83ECD"/>
    <w:rsid w:val="00F84192"/>
    <w:rsid w:val="00F84CD4"/>
    <w:rsid w:val="00F85CA6"/>
    <w:rsid w:val="00F85D45"/>
    <w:rsid w:val="00F878B6"/>
    <w:rsid w:val="00F9061E"/>
    <w:rsid w:val="00F907C3"/>
    <w:rsid w:val="00F90F1A"/>
    <w:rsid w:val="00F91E36"/>
    <w:rsid w:val="00F9315B"/>
    <w:rsid w:val="00F940DF"/>
    <w:rsid w:val="00F95CC9"/>
    <w:rsid w:val="00F97423"/>
    <w:rsid w:val="00F97601"/>
    <w:rsid w:val="00FA06E2"/>
    <w:rsid w:val="00FA35D7"/>
    <w:rsid w:val="00FA3CCA"/>
    <w:rsid w:val="00FA5696"/>
    <w:rsid w:val="00FA5AF6"/>
    <w:rsid w:val="00FB02AE"/>
    <w:rsid w:val="00FB0B01"/>
    <w:rsid w:val="00FB27B5"/>
    <w:rsid w:val="00FB394E"/>
    <w:rsid w:val="00FB51D9"/>
    <w:rsid w:val="00FC03FD"/>
    <w:rsid w:val="00FC34BD"/>
    <w:rsid w:val="00FC3A6B"/>
    <w:rsid w:val="00FC4F36"/>
    <w:rsid w:val="00FC6B16"/>
    <w:rsid w:val="00FD0A86"/>
    <w:rsid w:val="00FD362F"/>
    <w:rsid w:val="00FD4F2E"/>
    <w:rsid w:val="00FD5011"/>
    <w:rsid w:val="00FD5F15"/>
    <w:rsid w:val="00FE0094"/>
    <w:rsid w:val="00FE08D6"/>
    <w:rsid w:val="00FE1040"/>
    <w:rsid w:val="00FE2353"/>
    <w:rsid w:val="00FE5359"/>
    <w:rsid w:val="00FE7647"/>
    <w:rsid w:val="00FF0411"/>
    <w:rsid w:val="00FF10B6"/>
    <w:rsid w:val="00FF1B64"/>
    <w:rsid w:val="00FF1CAF"/>
    <w:rsid w:val="00FF4C4D"/>
    <w:rsid w:val="00FF698C"/>
    <w:rsid w:val="00FF6E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96"/>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Cambria" w:eastAsia="Times New Roman" w:hAnsi="Cambria"/>
      <w:b/>
      <w:bCs/>
      <w:color w:val="365F91"/>
      <w:sz w:val="28"/>
      <w:szCs w:val="28"/>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link w:val="NormalWebChar"/>
    <w:unhideWhenUsed/>
    <w:rsid w:val="002E43E8"/>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9640EB"/>
    <w:pPr>
      <w:tabs>
        <w:tab w:val="center" w:pos="4153"/>
        <w:tab w:val="right" w:pos="8306"/>
      </w:tabs>
    </w:pPr>
  </w:style>
  <w:style w:type="character" w:customStyle="1" w:styleId="HeaderChar">
    <w:name w:val="Header Char"/>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style>
  <w:style w:type="character" w:customStyle="1" w:styleId="FooterChar">
    <w:name w:val="Footer Char"/>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640EB"/>
    <w:rPr>
      <w:rFonts w:ascii="Tahoma" w:hAnsi="Tahoma" w:cs="Tahoma"/>
      <w:sz w:val="16"/>
      <w:szCs w:val="16"/>
      <w:lang w:eastAsia="en-US"/>
    </w:rPr>
  </w:style>
  <w:style w:type="character" w:styleId="Hyperlink">
    <w:name w:val="Hyperlink"/>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eastAsia="Times New Roman" w:hAnsi="Times New Roman"/>
      <w:sz w:val="24"/>
      <w:szCs w:val="24"/>
      <w:lang w:eastAsia="lv-LV"/>
    </w:rPr>
  </w:style>
  <w:style w:type="character" w:styleId="Strong">
    <w:name w:val="Strong"/>
    <w:uiPriority w:val="22"/>
    <w:qFormat/>
    <w:rsid w:val="00CE3EDE"/>
    <w:rPr>
      <w:b/>
      <w:bCs/>
    </w:rPr>
  </w:style>
  <w:style w:type="paragraph" w:customStyle="1" w:styleId="naisf">
    <w:name w:val="naisf"/>
    <w:basedOn w:val="Normal"/>
    <w:link w:val="naisfChar"/>
    <w:rsid w:val="00CE3EDE"/>
    <w:pPr>
      <w:spacing w:before="75" w:after="75" w:line="240" w:lineRule="auto"/>
      <w:ind w:firstLine="375"/>
      <w:jc w:val="both"/>
    </w:pPr>
    <w:rPr>
      <w:rFonts w:ascii="Times New Roman" w:eastAsia="Times New Roman" w:hAnsi="Times New Roman"/>
      <w:sz w:val="24"/>
      <w:szCs w:val="24"/>
    </w:rPr>
  </w:style>
  <w:style w:type="paragraph" w:customStyle="1" w:styleId="naiskr">
    <w:name w:val="naiskr"/>
    <w:basedOn w:val="Normal"/>
    <w:rsid w:val="00CE3ED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rPr>
  </w:style>
  <w:style w:type="character" w:customStyle="1" w:styleId="PlainTextChar">
    <w:name w:val="Plain Text Char"/>
    <w:link w:val="PlainText"/>
    <w:uiPriority w:val="99"/>
    <w:rsid w:val="00607ACA"/>
    <w:rPr>
      <w:rFonts w:ascii="Consolas" w:hAnsi="Consolas"/>
      <w:sz w:val="21"/>
      <w:szCs w:val="21"/>
      <w:lang w:eastAsia="en-US"/>
    </w:rPr>
  </w:style>
  <w:style w:type="paragraph" w:styleId="CommentText">
    <w:name w:val="annotation text"/>
    <w:basedOn w:val="Normal"/>
    <w:link w:val="CommentTextChar"/>
    <w:semiHidden/>
    <w:unhideWhenUsed/>
    <w:rsid w:val="00607ACA"/>
    <w:pPr>
      <w:spacing w:line="240" w:lineRule="auto"/>
    </w:pPr>
    <w:rPr>
      <w:sz w:val="20"/>
      <w:szCs w:val="20"/>
    </w:rPr>
  </w:style>
  <w:style w:type="character" w:customStyle="1" w:styleId="CommentTextChar">
    <w:name w:val="Comment Text Char"/>
    <w:link w:val="CommentText"/>
    <w:semiHidden/>
    <w:rsid w:val="00607ACA"/>
    <w:rPr>
      <w:lang w:eastAsia="en-US"/>
    </w:rPr>
  </w:style>
  <w:style w:type="paragraph" w:styleId="CommentSubject">
    <w:name w:val="annotation subject"/>
    <w:basedOn w:val="CommentText"/>
    <w:next w:val="CommentText"/>
    <w:link w:val="CommentSubjectChar"/>
    <w:uiPriority w:val="99"/>
    <w:semiHidden/>
    <w:unhideWhenUsed/>
    <w:rsid w:val="00607ACA"/>
    <w:pPr>
      <w:spacing w:line="276" w:lineRule="auto"/>
    </w:pPr>
    <w:rPr>
      <w:b/>
      <w:bCs/>
    </w:rPr>
  </w:style>
  <w:style w:type="character" w:customStyle="1" w:styleId="CommentSubjectChar">
    <w:name w:val="Comment Subject Char"/>
    <w:link w:val="CommentSubject"/>
    <w:uiPriority w:val="99"/>
    <w:semiHidden/>
    <w:rsid w:val="00607ACA"/>
    <w:rPr>
      <w:b/>
      <w:bCs/>
      <w:lang w:eastAsia="en-US"/>
    </w:rPr>
  </w:style>
  <w:style w:type="paragraph" w:styleId="BodyText2">
    <w:name w:val="Body Text 2"/>
    <w:basedOn w:val="Normal"/>
    <w:link w:val="BodyText2Char"/>
    <w:rsid w:val="00FD5011"/>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FD5011"/>
    <w:rPr>
      <w:rFonts w:ascii="Times New Roman" w:eastAsia="Times New Roman" w:hAnsi="Times New Roman"/>
      <w:sz w:val="24"/>
      <w:szCs w:val="24"/>
    </w:rPr>
  </w:style>
  <w:style w:type="character" w:customStyle="1" w:styleId="NormalWebChar">
    <w:name w:val="Normal (Web) Char"/>
    <w:link w:val="NormalWeb"/>
    <w:locked/>
    <w:rsid w:val="0082289E"/>
    <w:rPr>
      <w:rFonts w:ascii="Times New Roman" w:eastAsia="Times New Roman" w:hAnsi="Times New Roman"/>
      <w:sz w:val="24"/>
      <w:szCs w:val="24"/>
    </w:rPr>
  </w:style>
  <w:style w:type="character" w:customStyle="1" w:styleId="Heading1Char">
    <w:name w:val="Heading 1 Char"/>
    <w:link w:val="Heading1"/>
    <w:uiPriority w:val="9"/>
    <w:rsid w:val="00DC6B05"/>
    <w:rPr>
      <w:rFonts w:ascii="Cambria" w:eastAsia="Times New Roman" w:hAnsi="Cambria" w:cs="Times New Roman"/>
      <w:b/>
      <w:bCs/>
      <w:color w:val="365F91"/>
      <w:sz w:val="28"/>
      <w:szCs w:val="28"/>
      <w:lang w:eastAsia="en-US"/>
    </w:rPr>
  </w:style>
  <w:style w:type="character" w:styleId="FollowedHyperlink">
    <w:name w:val="FollowedHyperlink"/>
    <w:uiPriority w:val="99"/>
    <w:semiHidden/>
    <w:unhideWhenUsed/>
    <w:rsid w:val="00355629"/>
    <w:rPr>
      <w:color w:val="800080"/>
      <w:u w:val="single"/>
    </w:rPr>
  </w:style>
  <w:style w:type="paragraph" w:customStyle="1" w:styleId="naisc">
    <w:name w:val="naisc"/>
    <w:basedOn w:val="Normal"/>
    <w:rsid w:val="00683D14"/>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basedOn w:val="Normal"/>
    <w:uiPriority w:val="34"/>
    <w:qFormat/>
    <w:rsid w:val="00DD2C61"/>
    <w:pPr>
      <w:spacing w:after="0" w:line="240" w:lineRule="auto"/>
      <w:ind w:left="720"/>
    </w:pPr>
    <w:rPr>
      <w:lang w:eastAsia="lv-LV"/>
    </w:rPr>
  </w:style>
  <w:style w:type="paragraph" w:styleId="EnvelopeReturn">
    <w:name w:val="envelope return"/>
    <w:basedOn w:val="Normal"/>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CommentReference">
    <w:name w:val="annotation reference"/>
    <w:semiHidden/>
    <w:unhideWhenUsed/>
    <w:rsid w:val="002C2267"/>
    <w:rPr>
      <w:sz w:val="16"/>
      <w:szCs w:val="16"/>
    </w:rPr>
  </w:style>
  <w:style w:type="paragraph" w:styleId="BodyText">
    <w:name w:val="Body Text"/>
    <w:aliases w:val=" Rakstz."/>
    <w:basedOn w:val="Normal"/>
    <w:link w:val="BodyTextChar"/>
    <w:rsid w:val="00342867"/>
    <w:pPr>
      <w:spacing w:after="120" w:line="240" w:lineRule="auto"/>
    </w:pPr>
    <w:rPr>
      <w:rFonts w:ascii="Times New Roman" w:eastAsia="Times New Roman" w:hAnsi="Times New Roman"/>
      <w:sz w:val="24"/>
      <w:szCs w:val="24"/>
    </w:rPr>
  </w:style>
  <w:style w:type="character" w:customStyle="1" w:styleId="BodyTextChar">
    <w:name w:val="Body Text Char"/>
    <w:aliases w:val=" Rakstz. Char"/>
    <w:link w:val="BodyText"/>
    <w:rsid w:val="00342867"/>
    <w:rPr>
      <w:rFonts w:ascii="Times New Roman" w:eastAsia="Times New Roman" w:hAnsi="Times New Roman"/>
      <w:sz w:val="24"/>
      <w:szCs w:val="24"/>
      <w:lang w:eastAsia="en-US"/>
    </w:rPr>
  </w:style>
  <w:style w:type="paragraph" w:styleId="z-BottomofForm">
    <w:name w:val="HTML Bottom of Form"/>
    <w:basedOn w:val="Normal"/>
    <w:next w:val="Normal"/>
    <w:link w:val="z-BottomofFormChar"/>
    <w:hidden/>
    <w:uiPriority w:val="99"/>
    <w:rsid w:val="000504F6"/>
    <w:pPr>
      <w:pBdr>
        <w:top w:val="single" w:sz="6" w:space="1" w:color="auto"/>
      </w:pBdr>
      <w:spacing w:after="0" w:line="240" w:lineRule="auto"/>
      <w:jc w:val="center"/>
    </w:pPr>
    <w:rPr>
      <w:rFonts w:ascii="Arial" w:eastAsia="Times New Roman" w:hAnsi="Arial"/>
      <w:vanish/>
      <w:sz w:val="16"/>
      <w:szCs w:val="16"/>
    </w:rPr>
  </w:style>
  <w:style w:type="character" w:customStyle="1" w:styleId="z-BottomofFormChar">
    <w:name w:val="z-Bottom of Form Char"/>
    <w:link w:val="z-BottomofForm"/>
    <w:uiPriority w:val="99"/>
    <w:rsid w:val="000504F6"/>
    <w:rPr>
      <w:rFonts w:ascii="Arial" w:eastAsia="Times New Roman" w:hAnsi="Arial" w:cs="Arial"/>
      <w:vanish/>
      <w:sz w:val="16"/>
      <w:szCs w:val="16"/>
    </w:rPr>
  </w:style>
  <w:style w:type="paragraph" w:customStyle="1" w:styleId="naisnod">
    <w:name w:val="naisnod"/>
    <w:basedOn w:val="Normal"/>
    <w:rsid w:val="000D16A5"/>
    <w:pPr>
      <w:spacing w:before="150" w:after="150" w:line="240" w:lineRule="auto"/>
      <w:jc w:val="center"/>
    </w:pPr>
    <w:rPr>
      <w:rFonts w:ascii="Times New Roman" w:eastAsia="Times New Roman" w:hAnsi="Times New Roman"/>
      <w:b/>
      <w:bCs/>
      <w:sz w:val="24"/>
      <w:szCs w:val="24"/>
      <w:lang w:eastAsia="lv-LV"/>
    </w:rPr>
  </w:style>
  <w:style w:type="paragraph" w:customStyle="1" w:styleId="Default">
    <w:name w:val="Default"/>
    <w:rsid w:val="000D16A5"/>
    <w:pPr>
      <w:autoSpaceDE w:val="0"/>
      <w:autoSpaceDN w:val="0"/>
      <w:adjustRightInd w:val="0"/>
    </w:pPr>
    <w:rPr>
      <w:rFonts w:ascii="EUAlbertina" w:eastAsia="Times New Roman" w:hAnsi="EUAlbertina" w:cs="EUAlbertina"/>
      <w:color w:val="000000"/>
      <w:sz w:val="24"/>
      <w:szCs w:val="24"/>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uiPriority w:val="99"/>
    <w:rsid w:val="00CE44D6"/>
    <w:pPr>
      <w:spacing w:after="0" w:line="240" w:lineRule="auto"/>
    </w:pPr>
    <w:rPr>
      <w:rFonts w:ascii="Times New Roman" w:eastAsia="Times New Roman" w:hAnsi="Times New Roman"/>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link w:val="FootnoteText"/>
    <w:uiPriority w:val="99"/>
    <w:rsid w:val="00CE44D6"/>
    <w:rPr>
      <w:rFonts w:ascii="Times New Roman" w:eastAsia="Times New Roman" w:hAnsi="Times New Roman"/>
    </w:rPr>
  </w:style>
  <w:style w:type="character" w:styleId="FootnoteReference">
    <w:name w:val="footnote reference"/>
    <w:aliases w:val="Footnote Reference Number,SUPERS"/>
    <w:uiPriority w:val="99"/>
    <w:rsid w:val="004675E5"/>
    <w:rPr>
      <w:vertAlign w:val="superscript"/>
    </w:rPr>
  </w:style>
  <w:style w:type="character" w:customStyle="1" w:styleId="naisfChar">
    <w:name w:val="naisf Char"/>
    <w:link w:val="naisf"/>
    <w:locked/>
    <w:rsid w:val="006067E8"/>
    <w:rPr>
      <w:rFonts w:ascii="Times New Roman" w:eastAsia="Times New Roman" w:hAnsi="Times New Roman"/>
      <w:sz w:val="24"/>
      <w:szCs w:val="24"/>
    </w:rPr>
  </w:style>
  <w:style w:type="paragraph" w:customStyle="1" w:styleId="body">
    <w:name w:val="body"/>
    <w:basedOn w:val="Normal"/>
    <w:uiPriority w:val="99"/>
    <w:rsid w:val="00465BBD"/>
    <w:pPr>
      <w:shd w:val="clear" w:color="auto" w:fill="C9E1DF"/>
      <w:spacing w:before="100" w:beforeAutospacing="1" w:after="100" w:afterAutospacing="1" w:line="240" w:lineRule="auto"/>
    </w:pPr>
    <w:rPr>
      <w:rFonts w:ascii="Arial" w:eastAsia="Times New Roman" w:hAnsi="Arial" w:cs="Arial"/>
      <w:color w:val="333333"/>
      <w:sz w:val="24"/>
      <w:szCs w:val="24"/>
      <w:lang w:eastAsia="lv-LV"/>
    </w:rPr>
  </w:style>
  <w:style w:type="character" w:customStyle="1" w:styleId="spelle">
    <w:name w:val="spelle"/>
    <w:basedOn w:val="DefaultParagraphFont"/>
    <w:rsid w:val="00721B0B"/>
  </w:style>
  <w:style w:type="paragraph" w:customStyle="1" w:styleId="tvhtml">
    <w:name w:val="tv_html"/>
    <w:basedOn w:val="Normal"/>
    <w:rsid w:val="00D16AD9"/>
    <w:pPr>
      <w:spacing w:before="100" w:beforeAutospacing="1" w:after="100" w:afterAutospacing="1" w:line="240" w:lineRule="auto"/>
    </w:pPr>
    <w:rPr>
      <w:rFonts w:ascii="Verdana" w:eastAsia="Times New Roman" w:hAnsi="Verdana"/>
      <w:sz w:val="16"/>
      <w:szCs w:val="16"/>
      <w:lang w:eastAsia="lv-LV"/>
    </w:rPr>
  </w:style>
  <w:style w:type="paragraph" w:customStyle="1" w:styleId="tvhtml1">
    <w:name w:val="tv_html1"/>
    <w:basedOn w:val="Normal"/>
    <w:rsid w:val="00122ED0"/>
    <w:pPr>
      <w:spacing w:before="100" w:beforeAutospacing="1" w:after="0" w:line="360" w:lineRule="auto"/>
    </w:pPr>
    <w:rPr>
      <w:rFonts w:ascii="Verdana" w:eastAsia="Times New Roman" w:hAnsi="Verdana"/>
      <w:sz w:val="18"/>
      <w:szCs w:val="18"/>
      <w:lang w:eastAsia="lv-LV"/>
    </w:rPr>
  </w:style>
  <w:style w:type="paragraph" w:styleId="Subtitle">
    <w:name w:val="Subtitle"/>
    <w:basedOn w:val="Normal"/>
    <w:next w:val="Normal"/>
    <w:link w:val="SubtitleChar"/>
    <w:qFormat/>
    <w:rsid w:val="00854ADE"/>
    <w:pPr>
      <w:keepNext/>
      <w:keepLines/>
      <w:widowControl w:val="0"/>
      <w:suppressAutoHyphens/>
      <w:spacing w:before="600" w:after="600" w:line="240" w:lineRule="auto"/>
      <w:ind w:right="4820"/>
    </w:pPr>
    <w:rPr>
      <w:rFonts w:ascii="Times New Roman" w:eastAsia="Times New Roman" w:hAnsi="Times New Roman"/>
      <w:b/>
      <w:sz w:val="26"/>
      <w:szCs w:val="20"/>
      <w:lang w:val="en-AU"/>
    </w:rPr>
  </w:style>
  <w:style w:type="character" w:customStyle="1" w:styleId="SubtitleChar">
    <w:name w:val="Subtitle Char"/>
    <w:link w:val="Subtitle"/>
    <w:rsid w:val="00854ADE"/>
    <w:rPr>
      <w:rFonts w:ascii="Times New Roman" w:eastAsia="Times New Roman" w:hAnsi="Times New Roman"/>
      <w:b/>
      <w:sz w:val="26"/>
      <w:lang w:val="en-AU" w:eastAsia="en-US"/>
    </w:rPr>
  </w:style>
  <w:style w:type="paragraph" w:customStyle="1" w:styleId="Style8">
    <w:name w:val="Style8"/>
    <w:basedOn w:val="Normal"/>
    <w:uiPriority w:val="99"/>
    <w:rsid w:val="00007FDB"/>
    <w:pPr>
      <w:widowControl w:val="0"/>
      <w:autoSpaceDE w:val="0"/>
      <w:autoSpaceDN w:val="0"/>
      <w:adjustRightInd w:val="0"/>
      <w:spacing w:after="0" w:line="274" w:lineRule="exact"/>
      <w:ind w:hanging="350"/>
    </w:pPr>
    <w:rPr>
      <w:rFonts w:ascii="Impact" w:eastAsia="Times New Roman" w:hAnsi="Impact"/>
      <w:sz w:val="24"/>
      <w:szCs w:val="24"/>
      <w:lang w:eastAsia="lv-LV"/>
    </w:rPr>
  </w:style>
  <w:style w:type="paragraph" w:customStyle="1" w:styleId="default0">
    <w:name w:val="default"/>
    <w:basedOn w:val="Normal"/>
    <w:rsid w:val="00B7041A"/>
    <w:pPr>
      <w:spacing w:before="100" w:beforeAutospacing="1" w:after="100" w:afterAutospacing="1" w:line="240" w:lineRule="auto"/>
    </w:pPr>
    <w:rPr>
      <w:rFonts w:ascii="Times New Roman" w:eastAsia="Times New Roman" w:hAnsi="Times New Roman"/>
      <w:color w:val="000000"/>
      <w:sz w:val="24"/>
      <w:szCs w:val="24"/>
      <w:lang w:eastAsia="lv-LV"/>
    </w:rPr>
  </w:style>
  <w:style w:type="table" w:styleId="TableGrid">
    <w:name w:val="Table Grid"/>
    <w:basedOn w:val="TableNormal"/>
    <w:uiPriority w:val="59"/>
    <w:rsid w:val="00F61E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1E7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96"/>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Cambria" w:eastAsia="Times New Roman" w:hAnsi="Cambria"/>
      <w:b/>
      <w:bCs/>
      <w:color w:val="365F91"/>
      <w:sz w:val="28"/>
      <w:szCs w:val="28"/>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link w:val="NormalWebChar"/>
    <w:unhideWhenUsed/>
    <w:rsid w:val="002E43E8"/>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9640EB"/>
    <w:pPr>
      <w:tabs>
        <w:tab w:val="center" w:pos="4153"/>
        <w:tab w:val="right" w:pos="8306"/>
      </w:tabs>
    </w:pPr>
  </w:style>
  <w:style w:type="character" w:customStyle="1" w:styleId="HeaderChar">
    <w:name w:val="Header Char"/>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style>
  <w:style w:type="character" w:customStyle="1" w:styleId="FooterChar">
    <w:name w:val="Footer Char"/>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640EB"/>
    <w:rPr>
      <w:rFonts w:ascii="Tahoma" w:hAnsi="Tahoma" w:cs="Tahoma"/>
      <w:sz w:val="16"/>
      <w:szCs w:val="16"/>
      <w:lang w:eastAsia="en-US"/>
    </w:rPr>
  </w:style>
  <w:style w:type="character" w:styleId="Hyperlink">
    <w:name w:val="Hyperlink"/>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eastAsia="Times New Roman" w:hAnsi="Times New Roman"/>
      <w:sz w:val="24"/>
      <w:szCs w:val="24"/>
      <w:lang w:eastAsia="lv-LV"/>
    </w:rPr>
  </w:style>
  <w:style w:type="character" w:styleId="Strong">
    <w:name w:val="Strong"/>
    <w:uiPriority w:val="22"/>
    <w:qFormat/>
    <w:rsid w:val="00CE3EDE"/>
    <w:rPr>
      <w:b/>
      <w:bCs/>
    </w:rPr>
  </w:style>
  <w:style w:type="paragraph" w:customStyle="1" w:styleId="naisf">
    <w:name w:val="naisf"/>
    <w:basedOn w:val="Normal"/>
    <w:link w:val="naisfChar"/>
    <w:rsid w:val="00CE3EDE"/>
    <w:pPr>
      <w:spacing w:before="75" w:after="75" w:line="240" w:lineRule="auto"/>
      <w:ind w:firstLine="375"/>
      <w:jc w:val="both"/>
    </w:pPr>
    <w:rPr>
      <w:rFonts w:ascii="Times New Roman" w:eastAsia="Times New Roman" w:hAnsi="Times New Roman"/>
      <w:sz w:val="24"/>
      <w:szCs w:val="24"/>
    </w:rPr>
  </w:style>
  <w:style w:type="paragraph" w:customStyle="1" w:styleId="naiskr">
    <w:name w:val="naiskr"/>
    <w:basedOn w:val="Normal"/>
    <w:rsid w:val="00CE3ED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rPr>
  </w:style>
  <w:style w:type="character" w:customStyle="1" w:styleId="PlainTextChar">
    <w:name w:val="Plain Text Char"/>
    <w:link w:val="PlainText"/>
    <w:uiPriority w:val="99"/>
    <w:rsid w:val="00607ACA"/>
    <w:rPr>
      <w:rFonts w:ascii="Consolas" w:hAnsi="Consolas"/>
      <w:sz w:val="21"/>
      <w:szCs w:val="21"/>
      <w:lang w:eastAsia="en-US"/>
    </w:rPr>
  </w:style>
  <w:style w:type="paragraph" w:styleId="CommentText">
    <w:name w:val="annotation text"/>
    <w:basedOn w:val="Normal"/>
    <w:link w:val="CommentTextChar"/>
    <w:semiHidden/>
    <w:unhideWhenUsed/>
    <w:rsid w:val="00607ACA"/>
    <w:pPr>
      <w:spacing w:line="240" w:lineRule="auto"/>
    </w:pPr>
    <w:rPr>
      <w:sz w:val="20"/>
      <w:szCs w:val="20"/>
    </w:rPr>
  </w:style>
  <w:style w:type="character" w:customStyle="1" w:styleId="CommentTextChar">
    <w:name w:val="Comment Text Char"/>
    <w:link w:val="CommentText"/>
    <w:semiHidden/>
    <w:rsid w:val="00607ACA"/>
    <w:rPr>
      <w:lang w:eastAsia="en-US"/>
    </w:rPr>
  </w:style>
  <w:style w:type="paragraph" w:styleId="CommentSubject">
    <w:name w:val="annotation subject"/>
    <w:basedOn w:val="CommentText"/>
    <w:next w:val="CommentText"/>
    <w:link w:val="CommentSubjectChar"/>
    <w:uiPriority w:val="99"/>
    <w:semiHidden/>
    <w:unhideWhenUsed/>
    <w:rsid w:val="00607ACA"/>
    <w:pPr>
      <w:spacing w:line="276" w:lineRule="auto"/>
    </w:pPr>
    <w:rPr>
      <w:b/>
      <w:bCs/>
    </w:rPr>
  </w:style>
  <w:style w:type="character" w:customStyle="1" w:styleId="CommentSubjectChar">
    <w:name w:val="Comment Subject Char"/>
    <w:link w:val="CommentSubject"/>
    <w:uiPriority w:val="99"/>
    <w:semiHidden/>
    <w:rsid w:val="00607ACA"/>
    <w:rPr>
      <w:b/>
      <w:bCs/>
      <w:lang w:eastAsia="en-US"/>
    </w:rPr>
  </w:style>
  <w:style w:type="paragraph" w:styleId="BodyText2">
    <w:name w:val="Body Text 2"/>
    <w:basedOn w:val="Normal"/>
    <w:link w:val="BodyText2Char"/>
    <w:rsid w:val="00FD5011"/>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FD5011"/>
    <w:rPr>
      <w:rFonts w:ascii="Times New Roman" w:eastAsia="Times New Roman" w:hAnsi="Times New Roman"/>
      <w:sz w:val="24"/>
      <w:szCs w:val="24"/>
    </w:rPr>
  </w:style>
  <w:style w:type="character" w:customStyle="1" w:styleId="NormalWebChar">
    <w:name w:val="Normal (Web) Char"/>
    <w:link w:val="NormalWeb"/>
    <w:locked/>
    <w:rsid w:val="0082289E"/>
    <w:rPr>
      <w:rFonts w:ascii="Times New Roman" w:eastAsia="Times New Roman" w:hAnsi="Times New Roman"/>
      <w:sz w:val="24"/>
      <w:szCs w:val="24"/>
    </w:rPr>
  </w:style>
  <w:style w:type="character" w:customStyle="1" w:styleId="Heading1Char">
    <w:name w:val="Heading 1 Char"/>
    <w:link w:val="Heading1"/>
    <w:uiPriority w:val="9"/>
    <w:rsid w:val="00DC6B05"/>
    <w:rPr>
      <w:rFonts w:ascii="Cambria" w:eastAsia="Times New Roman" w:hAnsi="Cambria" w:cs="Times New Roman"/>
      <w:b/>
      <w:bCs/>
      <w:color w:val="365F91"/>
      <w:sz w:val="28"/>
      <w:szCs w:val="28"/>
      <w:lang w:eastAsia="en-US"/>
    </w:rPr>
  </w:style>
  <w:style w:type="character" w:styleId="FollowedHyperlink">
    <w:name w:val="FollowedHyperlink"/>
    <w:uiPriority w:val="99"/>
    <w:semiHidden/>
    <w:unhideWhenUsed/>
    <w:rsid w:val="00355629"/>
    <w:rPr>
      <w:color w:val="800080"/>
      <w:u w:val="single"/>
    </w:rPr>
  </w:style>
  <w:style w:type="paragraph" w:customStyle="1" w:styleId="naisc">
    <w:name w:val="naisc"/>
    <w:basedOn w:val="Normal"/>
    <w:rsid w:val="00683D14"/>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basedOn w:val="Normal"/>
    <w:uiPriority w:val="34"/>
    <w:qFormat/>
    <w:rsid w:val="00DD2C61"/>
    <w:pPr>
      <w:spacing w:after="0" w:line="240" w:lineRule="auto"/>
      <w:ind w:left="720"/>
    </w:pPr>
    <w:rPr>
      <w:lang w:eastAsia="lv-LV"/>
    </w:rPr>
  </w:style>
  <w:style w:type="paragraph" w:styleId="EnvelopeReturn">
    <w:name w:val="envelope return"/>
    <w:basedOn w:val="Normal"/>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CommentReference">
    <w:name w:val="annotation reference"/>
    <w:semiHidden/>
    <w:unhideWhenUsed/>
    <w:rsid w:val="002C2267"/>
    <w:rPr>
      <w:sz w:val="16"/>
      <w:szCs w:val="16"/>
    </w:rPr>
  </w:style>
  <w:style w:type="paragraph" w:styleId="BodyText">
    <w:name w:val="Body Text"/>
    <w:aliases w:val=" Rakstz."/>
    <w:basedOn w:val="Normal"/>
    <w:link w:val="BodyTextChar"/>
    <w:rsid w:val="00342867"/>
    <w:pPr>
      <w:spacing w:after="120" w:line="240" w:lineRule="auto"/>
    </w:pPr>
    <w:rPr>
      <w:rFonts w:ascii="Times New Roman" w:eastAsia="Times New Roman" w:hAnsi="Times New Roman"/>
      <w:sz w:val="24"/>
      <w:szCs w:val="24"/>
    </w:rPr>
  </w:style>
  <w:style w:type="character" w:customStyle="1" w:styleId="BodyTextChar">
    <w:name w:val="Body Text Char"/>
    <w:aliases w:val=" Rakstz. Char"/>
    <w:link w:val="BodyText"/>
    <w:rsid w:val="00342867"/>
    <w:rPr>
      <w:rFonts w:ascii="Times New Roman" w:eastAsia="Times New Roman" w:hAnsi="Times New Roman"/>
      <w:sz w:val="24"/>
      <w:szCs w:val="24"/>
      <w:lang w:eastAsia="en-US"/>
    </w:rPr>
  </w:style>
  <w:style w:type="paragraph" w:styleId="z-BottomofForm">
    <w:name w:val="HTML Bottom of Form"/>
    <w:basedOn w:val="Normal"/>
    <w:next w:val="Normal"/>
    <w:link w:val="z-BottomofFormChar"/>
    <w:hidden/>
    <w:uiPriority w:val="99"/>
    <w:rsid w:val="000504F6"/>
    <w:pPr>
      <w:pBdr>
        <w:top w:val="single" w:sz="6" w:space="1" w:color="auto"/>
      </w:pBdr>
      <w:spacing w:after="0" w:line="240" w:lineRule="auto"/>
      <w:jc w:val="center"/>
    </w:pPr>
    <w:rPr>
      <w:rFonts w:ascii="Arial" w:eastAsia="Times New Roman" w:hAnsi="Arial"/>
      <w:vanish/>
      <w:sz w:val="16"/>
      <w:szCs w:val="16"/>
    </w:rPr>
  </w:style>
  <w:style w:type="character" w:customStyle="1" w:styleId="z-BottomofFormChar">
    <w:name w:val="z-Bottom of Form Char"/>
    <w:link w:val="z-BottomofForm"/>
    <w:uiPriority w:val="99"/>
    <w:rsid w:val="000504F6"/>
    <w:rPr>
      <w:rFonts w:ascii="Arial" w:eastAsia="Times New Roman" w:hAnsi="Arial" w:cs="Arial"/>
      <w:vanish/>
      <w:sz w:val="16"/>
      <w:szCs w:val="16"/>
    </w:rPr>
  </w:style>
  <w:style w:type="paragraph" w:customStyle="1" w:styleId="naisnod">
    <w:name w:val="naisnod"/>
    <w:basedOn w:val="Normal"/>
    <w:rsid w:val="000D16A5"/>
    <w:pPr>
      <w:spacing w:before="150" w:after="150" w:line="240" w:lineRule="auto"/>
      <w:jc w:val="center"/>
    </w:pPr>
    <w:rPr>
      <w:rFonts w:ascii="Times New Roman" w:eastAsia="Times New Roman" w:hAnsi="Times New Roman"/>
      <w:b/>
      <w:bCs/>
      <w:sz w:val="24"/>
      <w:szCs w:val="24"/>
      <w:lang w:eastAsia="lv-LV"/>
    </w:rPr>
  </w:style>
  <w:style w:type="paragraph" w:customStyle="1" w:styleId="Default">
    <w:name w:val="Default"/>
    <w:rsid w:val="000D16A5"/>
    <w:pPr>
      <w:autoSpaceDE w:val="0"/>
      <w:autoSpaceDN w:val="0"/>
      <w:adjustRightInd w:val="0"/>
    </w:pPr>
    <w:rPr>
      <w:rFonts w:ascii="EUAlbertina" w:eastAsia="Times New Roman" w:hAnsi="EUAlbertina" w:cs="EUAlbertina"/>
      <w:color w:val="000000"/>
      <w:sz w:val="24"/>
      <w:szCs w:val="24"/>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uiPriority w:val="99"/>
    <w:rsid w:val="00CE44D6"/>
    <w:pPr>
      <w:spacing w:after="0" w:line="240" w:lineRule="auto"/>
    </w:pPr>
    <w:rPr>
      <w:rFonts w:ascii="Times New Roman" w:eastAsia="Times New Roman" w:hAnsi="Times New Roman"/>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link w:val="FootnoteText"/>
    <w:uiPriority w:val="99"/>
    <w:rsid w:val="00CE44D6"/>
    <w:rPr>
      <w:rFonts w:ascii="Times New Roman" w:eastAsia="Times New Roman" w:hAnsi="Times New Roman"/>
    </w:rPr>
  </w:style>
  <w:style w:type="character" w:styleId="FootnoteReference">
    <w:name w:val="footnote reference"/>
    <w:aliases w:val="Footnote Reference Number,SUPERS"/>
    <w:uiPriority w:val="99"/>
    <w:rsid w:val="004675E5"/>
    <w:rPr>
      <w:vertAlign w:val="superscript"/>
    </w:rPr>
  </w:style>
  <w:style w:type="character" w:customStyle="1" w:styleId="naisfChar">
    <w:name w:val="naisf Char"/>
    <w:link w:val="naisf"/>
    <w:locked/>
    <w:rsid w:val="006067E8"/>
    <w:rPr>
      <w:rFonts w:ascii="Times New Roman" w:eastAsia="Times New Roman" w:hAnsi="Times New Roman"/>
      <w:sz w:val="24"/>
      <w:szCs w:val="24"/>
    </w:rPr>
  </w:style>
  <w:style w:type="paragraph" w:customStyle="1" w:styleId="body">
    <w:name w:val="body"/>
    <w:basedOn w:val="Normal"/>
    <w:uiPriority w:val="99"/>
    <w:rsid w:val="00465BBD"/>
    <w:pPr>
      <w:shd w:val="clear" w:color="auto" w:fill="C9E1DF"/>
      <w:spacing w:before="100" w:beforeAutospacing="1" w:after="100" w:afterAutospacing="1" w:line="240" w:lineRule="auto"/>
    </w:pPr>
    <w:rPr>
      <w:rFonts w:ascii="Arial" w:eastAsia="Times New Roman" w:hAnsi="Arial" w:cs="Arial"/>
      <w:color w:val="333333"/>
      <w:sz w:val="24"/>
      <w:szCs w:val="24"/>
      <w:lang w:eastAsia="lv-LV"/>
    </w:rPr>
  </w:style>
  <w:style w:type="character" w:customStyle="1" w:styleId="spelle">
    <w:name w:val="spelle"/>
    <w:basedOn w:val="DefaultParagraphFont"/>
    <w:rsid w:val="00721B0B"/>
  </w:style>
  <w:style w:type="paragraph" w:customStyle="1" w:styleId="tvhtml">
    <w:name w:val="tv_html"/>
    <w:basedOn w:val="Normal"/>
    <w:rsid w:val="00D16AD9"/>
    <w:pPr>
      <w:spacing w:before="100" w:beforeAutospacing="1" w:after="100" w:afterAutospacing="1" w:line="240" w:lineRule="auto"/>
    </w:pPr>
    <w:rPr>
      <w:rFonts w:ascii="Verdana" w:eastAsia="Times New Roman" w:hAnsi="Verdana"/>
      <w:sz w:val="16"/>
      <w:szCs w:val="16"/>
      <w:lang w:eastAsia="lv-LV"/>
    </w:rPr>
  </w:style>
  <w:style w:type="paragraph" w:customStyle="1" w:styleId="tvhtml1">
    <w:name w:val="tv_html1"/>
    <w:basedOn w:val="Normal"/>
    <w:rsid w:val="00122ED0"/>
    <w:pPr>
      <w:spacing w:before="100" w:beforeAutospacing="1" w:after="0" w:line="360" w:lineRule="auto"/>
    </w:pPr>
    <w:rPr>
      <w:rFonts w:ascii="Verdana" w:eastAsia="Times New Roman" w:hAnsi="Verdana"/>
      <w:sz w:val="18"/>
      <w:szCs w:val="18"/>
      <w:lang w:eastAsia="lv-LV"/>
    </w:rPr>
  </w:style>
  <w:style w:type="paragraph" w:styleId="Subtitle">
    <w:name w:val="Subtitle"/>
    <w:basedOn w:val="Normal"/>
    <w:next w:val="Normal"/>
    <w:link w:val="SubtitleChar"/>
    <w:qFormat/>
    <w:rsid w:val="00854ADE"/>
    <w:pPr>
      <w:keepNext/>
      <w:keepLines/>
      <w:widowControl w:val="0"/>
      <w:suppressAutoHyphens/>
      <w:spacing w:before="600" w:after="600" w:line="240" w:lineRule="auto"/>
      <w:ind w:right="4820"/>
    </w:pPr>
    <w:rPr>
      <w:rFonts w:ascii="Times New Roman" w:eastAsia="Times New Roman" w:hAnsi="Times New Roman"/>
      <w:b/>
      <w:sz w:val="26"/>
      <w:szCs w:val="20"/>
      <w:lang w:val="en-AU"/>
    </w:rPr>
  </w:style>
  <w:style w:type="character" w:customStyle="1" w:styleId="SubtitleChar">
    <w:name w:val="Subtitle Char"/>
    <w:link w:val="Subtitle"/>
    <w:rsid w:val="00854ADE"/>
    <w:rPr>
      <w:rFonts w:ascii="Times New Roman" w:eastAsia="Times New Roman" w:hAnsi="Times New Roman"/>
      <w:b/>
      <w:sz w:val="26"/>
      <w:lang w:val="en-AU" w:eastAsia="en-US"/>
    </w:rPr>
  </w:style>
  <w:style w:type="paragraph" w:customStyle="1" w:styleId="Style8">
    <w:name w:val="Style8"/>
    <w:basedOn w:val="Normal"/>
    <w:uiPriority w:val="99"/>
    <w:rsid w:val="00007FDB"/>
    <w:pPr>
      <w:widowControl w:val="0"/>
      <w:autoSpaceDE w:val="0"/>
      <w:autoSpaceDN w:val="0"/>
      <w:adjustRightInd w:val="0"/>
      <w:spacing w:after="0" w:line="274" w:lineRule="exact"/>
      <w:ind w:hanging="350"/>
    </w:pPr>
    <w:rPr>
      <w:rFonts w:ascii="Impact" w:eastAsia="Times New Roman" w:hAnsi="Impact"/>
      <w:sz w:val="24"/>
      <w:szCs w:val="24"/>
      <w:lang w:eastAsia="lv-LV"/>
    </w:rPr>
  </w:style>
  <w:style w:type="paragraph" w:customStyle="1" w:styleId="default0">
    <w:name w:val="default"/>
    <w:basedOn w:val="Normal"/>
    <w:rsid w:val="00B7041A"/>
    <w:pPr>
      <w:spacing w:before="100" w:beforeAutospacing="1" w:after="100" w:afterAutospacing="1" w:line="240" w:lineRule="auto"/>
    </w:pPr>
    <w:rPr>
      <w:rFonts w:ascii="Times New Roman" w:eastAsia="Times New Roman" w:hAnsi="Times New Roman"/>
      <w:color w:val="000000"/>
      <w:sz w:val="24"/>
      <w:szCs w:val="24"/>
      <w:lang w:eastAsia="lv-LV"/>
    </w:rPr>
  </w:style>
  <w:style w:type="table" w:styleId="TableGrid">
    <w:name w:val="Table Grid"/>
    <w:basedOn w:val="TableNormal"/>
    <w:uiPriority w:val="59"/>
    <w:rsid w:val="00F61E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1E7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20716">
      <w:bodyDiv w:val="1"/>
      <w:marLeft w:val="0"/>
      <w:marRight w:val="0"/>
      <w:marTop w:val="0"/>
      <w:marBottom w:val="0"/>
      <w:divBdr>
        <w:top w:val="none" w:sz="0" w:space="0" w:color="auto"/>
        <w:left w:val="none" w:sz="0" w:space="0" w:color="auto"/>
        <w:bottom w:val="none" w:sz="0" w:space="0" w:color="auto"/>
        <w:right w:val="none" w:sz="0" w:space="0" w:color="auto"/>
      </w:divBdr>
    </w:div>
    <w:div w:id="238174656">
      <w:bodyDiv w:val="1"/>
      <w:marLeft w:val="0"/>
      <w:marRight w:val="0"/>
      <w:marTop w:val="0"/>
      <w:marBottom w:val="0"/>
      <w:divBdr>
        <w:top w:val="none" w:sz="0" w:space="0" w:color="auto"/>
        <w:left w:val="none" w:sz="0" w:space="0" w:color="auto"/>
        <w:bottom w:val="none" w:sz="0" w:space="0" w:color="auto"/>
        <w:right w:val="none" w:sz="0" w:space="0" w:color="auto"/>
      </w:divBdr>
    </w:div>
    <w:div w:id="294990057">
      <w:bodyDiv w:val="1"/>
      <w:marLeft w:val="0"/>
      <w:marRight w:val="0"/>
      <w:marTop w:val="0"/>
      <w:marBottom w:val="0"/>
      <w:divBdr>
        <w:top w:val="none" w:sz="0" w:space="0" w:color="auto"/>
        <w:left w:val="none" w:sz="0" w:space="0" w:color="auto"/>
        <w:bottom w:val="none" w:sz="0" w:space="0" w:color="auto"/>
        <w:right w:val="none" w:sz="0" w:space="0" w:color="auto"/>
      </w:divBdr>
    </w:div>
    <w:div w:id="308636894">
      <w:bodyDiv w:val="1"/>
      <w:marLeft w:val="0"/>
      <w:marRight w:val="0"/>
      <w:marTop w:val="0"/>
      <w:marBottom w:val="0"/>
      <w:divBdr>
        <w:top w:val="none" w:sz="0" w:space="0" w:color="auto"/>
        <w:left w:val="none" w:sz="0" w:space="0" w:color="auto"/>
        <w:bottom w:val="none" w:sz="0" w:space="0" w:color="auto"/>
        <w:right w:val="none" w:sz="0" w:space="0" w:color="auto"/>
      </w:divBdr>
    </w:div>
    <w:div w:id="487863072">
      <w:bodyDiv w:val="1"/>
      <w:marLeft w:val="0"/>
      <w:marRight w:val="0"/>
      <w:marTop w:val="0"/>
      <w:marBottom w:val="0"/>
      <w:divBdr>
        <w:top w:val="none" w:sz="0" w:space="0" w:color="auto"/>
        <w:left w:val="none" w:sz="0" w:space="0" w:color="auto"/>
        <w:bottom w:val="none" w:sz="0" w:space="0" w:color="auto"/>
        <w:right w:val="none" w:sz="0" w:space="0" w:color="auto"/>
      </w:divBdr>
    </w:div>
    <w:div w:id="618417176">
      <w:bodyDiv w:val="1"/>
      <w:marLeft w:val="0"/>
      <w:marRight w:val="0"/>
      <w:marTop w:val="0"/>
      <w:marBottom w:val="0"/>
      <w:divBdr>
        <w:top w:val="none" w:sz="0" w:space="0" w:color="auto"/>
        <w:left w:val="none" w:sz="0" w:space="0" w:color="auto"/>
        <w:bottom w:val="none" w:sz="0" w:space="0" w:color="auto"/>
        <w:right w:val="none" w:sz="0" w:space="0" w:color="auto"/>
      </w:divBdr>
    </w:div>
    <w:div w:id="744109193">
      <w:bodyDiv w:val="1"/>
      <w:marLeft w:val="0"/>
      <w:marRight w:val="0"/>
      <w:marTop w:val="0"/>
      <w:marBottom w:val="0"/>
      <w:divBdr>
        <w:top w:val="none" w:sz="0" w:space="0" w:color="auto"/>
        <w:left w:val="none" w:sz="0" w:space="0" w:color="auto"/>
        <w:bottom w:val="none" w:sz="0" w:space="0" w:color="auto"/>
        <w:right w:val="none" w:sz="0" w:space="0" w:color="auto"/>
      </w:divBdr>
    </w:div>
    <w:div w:id="758021397">
      <w:bodyDiv w:val="1"/>
      <w:marLeft w:val="0"/>
      <w:marRight w:val="0"/>
      <w:marTop w:val="0"/>
      <w:marBottom w:val="0"/>
      <w:divBdr>
        <w:top w:val="none" w:sz="0" w:space="0" w:color="auto"/>
        <w:left w:val="none" w:sz="0" w:space="0" w:color="auto"/>
        <w:bottom w:val="none" w:sz="0" w:space="0" w:color="auto"/>
        <w:right w:val="none" w:sz="0" w:space="0" w:color="auto"/>
      </w:divBdr>
    </w:div>
    <w:div w:id="915820453">
      <w:bodyDiv w:val="1"/>
      <w:marLeft w:val="0"/>
      <w:marRight w:val="0"/>
      <w:marTop w:val="0"/>
      <w:marBottom w:val="0"/>
      <w:divBdr>
        <w:top w:val="none" w:sz="0" w:space="0" w:color="auto"/>
        <w:left w:val="none" w:sz="0" w:space="0" w:color="auto"/>
        <w:bottom w:val="none" w:sz="0" w:space="0" w:color="auto"/>
        <w:right w:val="none" w:sz="0" w:space="0" w:color="auto"/>
      </w:divBdr>
    </w:div>
    <w:div w:id="1016931020">
      <w:bodyDiv w:val="1"/>
      <w:marLeft w:val="0"/>
      <w:marRight w:val="0"/>
      <w:marTop w:val="0"/>
      <w:marBottom w:val="0"/>
      <w:divBdr>
        <w:top w:val="none" w:sz="0" w:space="0" w:color="auto"/>
        <w:left w:val="none" w:sz="0" w:space="0" w:color="auto"/>
        <w:bottom w:val="none" w:sz="0" w:space="0" w:color="auto"/>
        <w:right w:val="none" w:sz="0" w:space="0" w:color="auto"/>
      </w:divBdr>
    </w:div>
    <w:div w:id="1037662535">
      <w:bodyDiv w:val="1"/>
      <w:marLeft w:val="0"/>
      <w:marRight w:val="0"/>
      <w:marTop w:val="0"/>
      <w:marBottom w:val="0"/>
      <w:divBdr>
        <w:top w:val="none" w:sz="0" w:space="0" w:color="auto"/>
        <w:left w:val="none" w:sz="0" w:space="0" w:color="auto"/>
        <w:bottom w:val="none" w:sz="0" w:space="0" w:color="auto"/>
        <w:right w:val="none" w:sz="0" w:space="0" w:color="auto"/>
      </w:divBdr>
      <w:divsChild>
        <w:div w:id="1365518637">
          <w:marLeft w:val="0"/>
          <w:marRight w:val="0"/>
          <w:marTop w:val="0"/>
          <w:marBottom w:val="0"/>
          <w:divBdr>
            <w:top w:val="none" w:sz="0" w:space="0" w:color="auto"/>
            <w:left w:val="none" w:sz="0" w:space="0" w:color="auto"/>
            <w:bottom w:val="none" w:sz="0" w:space="0" w:color="auto"/>
            <w:right w:val="none" w:sz="0" w:space="0" w:color="auto"/>
          </w:divBdr>
          <w:divsChild>
            <w:div w:id="124409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0109">
      <w:bodyDiv w:val="1"/>
      <w:marLeft w:val="0"/>
      <w:marRight w:val="0"/>
      <w:marTop w:val="0"/>
      <w:marBottom w:val="0"/>
      <w:divBdr>
        <w:top w:val="none" w:sz="0" w:space="0" w:color="auto"/>
        <w:left w:val="none" w:sz="0" w:space="0" w:color="auto"/>
        <w:bottom w:val="none" w:sz="0" w:space="0" w:color="auto"/>
        <w:right w:val="none" w:sz="0" w:space="0" w:color="auto"/>
      </w:divBdr>
    </w:div>
    <w:div w:id="1160081118">
      <w:bodyDiv w:val="1"/>
      <w:marLeft w:val="0"/>
      <w:marRight w:val="0"/>
      <w:marTop w:val="0"/>
      <w:marBottom w:val="0"/>
      <w:divBdr>
        <w:top w:val="none" w:sz="0" w:space="0" w:color="auto"/>
        <w:left w:val="none" w:sz="0" w:space="0" w:color="auto"/>
        <w:bottom w:val="none" w:sz="0" w:space="0" w:color="auto"/>
        <w:right w:val="none" w:sz="0" w:space="0" w:color="auto"/>
      </w:divBdr>
    </w:div>
    <w:div w:id="1213808784">
      <w:bodyDiv w:val="1"/>
      <w:marLeft w:val="0"/>
      <w:marRight w:val="0"/>
      <w:marTop w:val="0"/>
      <w:marBottom w:val="0"/>
      <w:divBdr>
        <w:top w:val="none" w:sz="0" w:space="0" w:color="auto"/>
        <w:left w:val="none" w:sz="0" w:space="0" w:color="auto"/>
        <w:bottom w:val="none" w:sz="0" w:space="0" w:color="auto"/>
        <w:right w:val="none" w:sz="0" w:space="0" w:color="auto"/>
      </w:divBdr>
    </w:div>
    <w:div w:id="1236012344">
      <w:bodyDiv w:val="1"/>
      <w:marLeft w:val="0"/>
      <w:marRight w:val="0"/>
      <w:marTop w:val="0"/>
      <w:marBottom w:val="0"/>
      <w:divBdr>
        <w:top w:val="none" w:sz="0" w:space="0" w:color="auto"/>
        <w:left w:val="none" w:sz="0" w:space="0" w:color="auto"/>
        <w:bottom w:val="none" w:sz="0" w:space="0" w:color="auto"/>
        <w:right w:val="none" w:sz="0" w:space="0" w:color="auto"/>
      </w:divBdr>
    </w:div>
    <w:div w:id="1323003117">
      <w:bodyDiv w:val="1"/>
      <w:marLeft w:val="0"/>
      <w:marRight w:val="0"/>
      <w:marTop w:val="0"/>
      <w:marBottom w:val="0"/>
      <w:divBdr>
        <w:top w:val="none" w:sz="0" w:space="0" w:color="auto"/>
        <w:left w:val="none" w:sz="0" w:space="0" w:color="auto"/>
        <w:bottom w:val="none" w:sz="0" w:space="0" w:color="auto"/>
        <w:right w:val="none" w:sz="0" w:space="0" w:color="auto"/>
      </w:divBdr>
    </w:div>
    <w:div w:id="1364402669">
      <w:bodyDiv w:val="1"/>
      <w:marLeft w:val="0"/>
      <w:marRight w:val="0"/>
      <w:marTop w:val="0"/>
      <w:marBottom w:val="0"/>
      <w:divBdr>
        <w:top w:val="none" w:sz="0" w:space="0" w:color="auto"/>
        <w:left w:val="none" w:sz="0" w:space="0" w:color="auto"/>
        <w:bottom w:val="none" w:sz="0" w:space="0" w:color="auto"/>
        <w:right w:val="none" w:sz="0" w:space="0" w:color="auto"/>
      </w:divBdr>
    </w:div>
    <w:div w:id="1732000440">
      <w:bodyDiv w:val="1"/>
      <w:marLeft w:val="0"/>
      <w:marRight w:val="0"/>
      <w:marTop w:val="0"/>
      <w:marBottom w:val="0"/>
      <w:divBdr>
        <w:top w:val="none" w:sz="0" w:space="0" w:color="auto"/>
        <w:left w:val="none" w:sz="0" w:space="0" w:color="auto"/>
        <w:bottom w:val="none" w:sz="0" w:space="0" w:color="auto"/>
        <w:right w:val="none" w:sz="0" w:space="0" w:color="auto"/>
      </w:divBdr>
    </w:div>
    <w:div w:id="1746564215">
      <w:bodyDiv w:val="1"/>
      <w:marLeft w:val="0"/>
      <w:marRight w:val="0"/>
      <w:marTop w:val="0"/>
      <w:marBottom w:val="0"/>
      <w:divBdr>
        <w:top w:val="none" w:sz="0" w:space="0" w:color="auto"/>
        <w:left w:val="none" w:sz="0" w:space="0" w:color="auto"/>
        <w:bottom w:val="none" w:sz="0" w:space="0" w:color="auto"/>
        <w:right w:val="none" w:sz="0" w:space="0" w:color="auto"/>
      </w:divBdr>
    </w:div>
    <w:div w:id="1761638928">
      <w:bodyDiv w:val="1"/>
      <w:marLeft w:val="0"/>
      <w:marRight w:val="0"/>
      <w:marTop w:val="0"/>
      <w:marBottom w:val="0"/>
      <w:divBdr>
        <w:top w:val="none" w:sz="0" w:space="0" w:color="auto"/>
        <w:left w:val="none" w:sz="0" w:space="0" w:color="auto"/>
        <w:bottom w:val="none" w:sz="0" w:space="0" w:color="auto"/>
        <w:right w:val="none" w:sz="0" w:space="0" w:color="auto"/>
      </w:divBdr>
    </w:div>
    <w:div w:id="1950116195">
      <w:bodyDiv w:val="1"/>
      <w:marLeft w:val="41"/>
      <w:marRight w:val="41"/>
      <w:marTop w:val="82"/>
      <w:marBottom w:val="82"/>
      <w:divBdr>
        <w:top w:val="none" w:sz="0" w:space="0" w:color="auto"/>
        <w:left w:val="none" w:sz="0" w:space="0" w:color="auto"/>
        <w:bottom w:val="none" w:sz="0" w:space="0" w:color="auto"/>
        <w:right w:val="none" w:sz="0" w:space="0" w:color="auto"/>
      </w:divBdr>
      <w:divsChild>
        <w:div w:id="276105219">
          <w:marLeft w:val="0"/>
          <w:marRight w:val="0"/>
          <w:marTop w:val="240"/>
          <w:marBottom w:val="0"/>
          <w:divBdr>
            <w:top w:val="none" w:sz="0" w:space="0" w:color="auto"/>
            <w:left w:val="none" w:sz="0" w:space="0" w:color="auto"/>
            <w:bottom w:val="none" w:sz="0" w:space="0" w:color="auto"/>
            <w:right w:val="none" w:sz="0" w:space="0" w:color="auto"/>
          </w:divBdr>
        </w:div>
      </w:divsChild>
    </w:div>
    <w:div w:id="1975914594">
      <w:bodyDiv w:val="1"/>
      <w:marLeft w:val="0"/>
      <w:marRight w:val="0"/>
      <w:marTop w:val="0"/>
      <w:marBottom w:val="0"/>
      <w:divBdr>
        <w:top w:val="none" w:sz="0" w:space="0" w:color="auto"/>
        <w:left w:val="none" w:sz="0" w:space="0" w:color="auto"/>
        <w:bottom w:val="none" w:sz="0" w:space="0" w:color="auto"/>
        <w:right w:val="none" w:sz="0" w:space="0" w:color="auto"/>
      </w:divBdr>
      <w:divsChild>
        <w:div w:id="2005159030">
          <w:marLeft w:val="0"/>
          <w:marRight w:val="0"/>
          <w:marTop w:val="0"/>
          <w:marBottom w:val="0"/>
          <w:divBdr>
            <w:top w:val="none" w:sz="0" w:space="0" w:color="auto"/>
            <w:left w:val="none" w:sz="0" w:space="0" w:color="auto"/>
            <w:bottom w:val="none" w:sz="0" w:space="0" w:color="auto"/>
            <w:right w:val="none" w:sz="0" w:space="0" w:color="auto"/>
          </w:divBdr>
          <w:divsChild>
            <w:div w:id="13758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10260">
      <w:bodyDiv w:val="1"/>
      <w:marLeft w:val="0"/>
      <w:marRight w:val="0"/>
      <w:marTop w:val="0"/>
      <w:marBottom w:val="0"/>
      <w:divBdr>
        <w:top w:val="none" w:sz="0" w:space="0" w:color="auto"/>
        <w:left w:val="none" w:sz="0" w:space="0" w:color="auto"/>
        <w:bottom w:val="none" w:sz="0" w:space="0" w:color="auto"/>
        <w:right w:val="none" w:sz="0" w:space="0" w:color="auto"/>
      </w:divBdr>
      <w:divsChild>
        <w:div w:id="1448310699">
          <w:marLeft w:val="994"/>
          <w:marRight w:val="0"/>
          <w:marTop w:val="0"/>
          <w:marBottom w:val="120"/>
          <w:divBdr>
            <w:top w:val="none" w:sz="0" w:space="0" w:color="auto"/>
            <w:left w:val="none" w:sz="0" w:space="0" w:color="auto"/>
            <w:bottom w:val="none" w:sz="0" w:space="0" w:color="auto"/>
            <w:right w:val="none" w:sz="0" w:space="0" w:color="auto"/>
          </w:divBdr>
        </w:div>
      </w:divsChild>
    </w:div>
    <w:div w:id="1998729720">
      <w:bodyDiv w:val="1"/>
      <w:marLeft w:val="0"/>
      <w:marRight w:val="0"/>
      <w:marTop w:val="0"/>
      <w:marBottom w:val="0"/>
      <w:divBdr>
        <w:top w:val="none" w:sz="0" w:space="0" w:color="auto"/>
        <w:left w:val="none" w:sz="0" w:space="0" w:color="auto"/>
        <w:bottom w:val="none" w:sz="0" w:space="0" w:color="auto"/>
        <w:right w:val="none" w:sz="0" w:space="0" w:color="auto"/>
      </w:divBdr>
      <w:divsChild>
        <w:div w:id="115636315">
          <w:marLeft w:val="0"/>
          <w:marRight w:val="0"/>
          <w:marTop w:val="0"/>
          <w:marBottom w:val="0"/>
          <w:divBdr>
            <w:top w:val="none" w:sz="0" w:space="0" w:color="auto"/>
            <w:left w:val="none" w:sz="0" w:space="0" w:color="auto"/>
            <w:bottom w:val="none" w:sz="0" w:space="0" w:color="auto"/>
            <w:right w:val="none" w:sz="0" w:space="0" w:color="auto"/>
          </w:divBdr>
          <w:divsChild>
            <w:div w:id="11649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30181">
      <w:bodyDiv w:val="1"/>
      <w:marLeft w:val="0"/>
      <w:marRight w:val="0"/>
      <w:marTop w:val="0"/>
      <w:marBottom w:val="0"/>
      <w:divBdr>
        <w:top w:val="none" w:sz="0" w:space="0" w:color="auto"/>
        <w:left w:val="none" w:sz="0" w:space="0" w:color="auto"/>
        <w:bottom w:val="none" w:sz="0" w:space="0" w:color="auto"/>
        <w:right w:val="none" w:sz="0" w:space="0" w:color="auto"/>
      </w:divBdr>
      <w:divsChild>
        <w:div w:id="1986618848">
          <w:marLeft w:val="0"/>
          <w:marRight w:val="0"/>
          <w:marTop w:val="0"/>
          <w:marBottom w:val="0"/>
          <w:divBdr>
            <w:top w:val="none" w:sz="0" w:space="0" w:color="auto"/>
            <w:left w:val="none" w:sz="0" w:space="0" w:color="auto"/>
            <w:bottom w:val="none" w:sz="0" w:space="0" w:color="auto"/>
            <w:right w:val="none" w:sz="0" w:space="0" w:color="auto"/>
          </w:divBdr>
          <w:divsChild>
            <w:div w:id="92388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OM:2010:0716:FIN:EN: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12</Pages>
  <Words>3859</Words>
  <Characters>28248</Characters>
  <Application>Microsoft Office Word</Application>
  <DocSecurity>0</DocSecurity>
  <Lines>856</Lines>
  <Paragraphs>236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projekta„Grozījumi Ministru kabineta 2011. gada 29. novembra noteikumos Nr.914 „Elektroenerģijas tirdzniecības un lietošanas noteikumi”” sākotnējās ietekmes novērtējuma ziņojums (anotācija)</vt:lpstr>
      <vt:lpstr>Ministru kabineta noteikumu projekta„Grozījumi Ministru kabineta 2011. gada 29. novembra noteikumos Nr.914 „Elektroenerģijas tirdzniecības un lietošanas noteikumi”” sākotnējās ietekmes novērtējuma ziņojums (anotācija)</vt:lpstr>
    </vt:vector>
  </TitlesOfParts>
  <Company>LR Ekonomikas ministrija</Company>
  <LinksUpToDate>false</LinksUpToDate>
  <CharactersWithSpaces>31871</CharactersWithSpaces>
  <SharedDoc>false</SharedDoc>
  <HLinks>
    <vt:vector size="6" baseType="variant">
      <vt:variant>
        <vt:i4>6750334</vt:i4>
      </vt:variant>
      <vt:variant>
        <vt:i4>0</vt:i4>
      </vt:variant>
      <vt:variant>
        <vt:i4>0</vt:i4>
      </vt:variant>
      <vt:variant>
        <vt:i4>5</vt:i4>
      </vt:variant>
      <vt:variant>
        <vt:lpwstr>http://eur-lex.europa.eu/LexUriServ/LexUriServ.do?uri=COM:2010:0716:FIN:EN:PDF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projekta„Grozījumi Ministru kabineta 2011. gada 29. novembra noteikumos Nr.914 „Elektroenerģijas tirdzniecības un lietošanas noteikumi”” sākotnējās ietekmes novērtējuma ziņojums (anotācija)</dc:title>
  <dc:subject>MK noteikumu anotācija</dc:subject>
  <dc:creator>Jānis Bunkovskis</dc:creator>
  <cp:lastModifiedBy>Aleksandrs Ļvovs</cp:lastModifiedBy>
  <cp:revision>11</cp:revision>
  <cp:lastPrinted>2013-02-05T09:12:00Z</cp:lastPrinted>
  <dcterms:created xsi:type="dcterms:W3CDTF">2013-02-05T09:10:00Z</dcterms:created>
  <dcterms:modified xsi:type="dcterms:W3CDTF">2013-02-07T07:29:00Z</dcterms:modified>
</cp:coreProperties>
</file>